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rPr>
          <w:rFonts w:ascii="Times New Roman"/>
          <w:sz w:val="17"/>
        </w:rPr>
      </w:pPr>
    </w:p>
    <w:p>
      <w:pPr>
        <w:spacing w:line="922" w:lineRule="exact"/>
        <w:ind w:left="280" w:right="478"/>
        <w:jc w:val="center"/>
        <w:rPr>
          <w:rFonts w:ascii="黑体" w:eastAsia="黑体"/>
          <w:sz w:val="72"/>
        </w:rPr>
      </w:pPr>
      <w:r>
        <w:rPr>
          <w:rFonts w:hint="eastAsia" w:ascii="黑体" w:eastAsia="黑体"/>
          <w:sz w:val="72"/>
        </w:rPr>
        <w:t>长江经济带战略环境评价</w:t>
      </w:r>
    </w:p>
    <w:p>
      <w:pPr>
        <w:spacing w:before="479"/>
        <w:ind w:left="280" w:right="478"/>
        <w:jc w:val="center"/>
        <w:rPr>
          <w:rFonts w:ascii="黑体" w:hAnsi="黑体" w:eastAsia="黑体"/>
          <w:sz w:val="72"/>
        </w:rPr>
      </w:pPr>
      <w:r>
        <w:rPr>
          <w:rFonts w:hint="eastAsia" w:ascii="黑体" w:hAnsi="黑体" w:eastAsia="黑体"/>
          <w:sz w:val="72"/>
        </w:rPr>
        <w:t>罗甸县生态环境空间管控“三线一单”</w:t>
      </w:r>
    </w:p>
    <w:p>
      <w:pPr>
        <w:pStyle w:val="2"/>
        <w:rPr>
          <w:rFonts w:ascii="黑体"/>
          <w:sz w:val="72"/>
        </w:rPr>
      </w:pPr>
      <w:bookmarkStart w:id="8" w:name="_GoBack"/>
      <w:bookmarkEnd w:id="8"/>
    </w:p>
    <w:p>
      <w:pPr>
        <w:pStyle w:val="2"/>
        <w:spacing w:before="3"/>
        <w:rPr>
          <w:rFonts w:ascii="黑体"/>
          <w:sz w:val="68"/>
        </w:rPr>
      </w:pPr>
    </w:p>
    <w:p>
      <w:pPr>
        <w:ind w:left="280" w:right="478"/>
        <w:jc w:val="center"/>
        <w:rPr>
          <w:rFonts w:ascii="黑体" w:eastAsia="黑体"/>
          <w:sz w:val="84"/>
        </w:rPr>
      </w:pPr>
      <w:r>
        <w:rPr>
          <w:rFonts w:hint="eastAsia" w:ascii="黑体" w:eastAsia="黑体"/>
          <w:sz w:val="84"/>
        </w:rPr>
        <w:t>生态环境准入清单</w:t>
      </w:r>
    </w:p>
    <w:p>
      <w:pPr>
        <w:pStyle w:val="2"/>
        <w:rPr>
          <w:rFonts w:ascii="黑体"/>
          <w:sz w:val="84"/>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spacing w:before="10"/>
        <w:rPr>
          <w:rFonts w:ascii="黑体"/>
          <w:sz w:val="28"/>
        </w:rPr>
      </w:pPr>
    </w:p>
    <w:p>
      <w:pPr>
        <w:spacing w:before="38"/>
        <w:ind w:left="280" w:right="478"/>
        <w:jc w:val="center"/>
        <w:rPr>
          <w:rFonts w:ascii="黑体" w:eastAsia="黑体"/>
          <w:sz w:val="44"/>
        </w:rPr>
      </w:pPr>
      <w:r>
        <w:rPr>
          <w:rFonts w:hint="eastAsia" w:ascii="黑体" w:eastAsia="黑体"/>
          <w:sz w:val="44"/>
        </w:rPr>
        <w:t>目 录</w:t>
      </w:r>
    </w:p>
    <w:p>
      <w:pPr>
        <w:pStyle w:val="2"/>
        <w:rPr>
          <w:rFonts w:ascii="黑体"/>
          <w:sz w:val="44"/>
        </w:rPr>
      </w:pPr>
    </w:p>
    <w:p>
      <w:pPr>
        <w:pStyle w:val="2"/>
        <w:spacing w:before="10"/>
        <w:rPr>
          <w:rFonts w:ascii="黑体"/>
          <w:sz w:val="43"/>
        </w:rPr>
      </w:pPr>
    </w:p>
    <w:p>
      <w:pPr>
        <w:pStyle w:val="5"/>
        <w:numPr>
          <w:ilvl w:val="0"/>
          <w:numId w:val="1"/>
        </w:numPr>
        <w:tabs>
          <w:tab w:val="left" w:pos="284"/>
          <w:tab w:val="right" w:leader="dot" w:pos="20881"/>
        </w:tabs>
        <w:spacing w:before="0"/>
        <w:ind w:hanging="864"/>
        <w:rPr>
          <w:rFonts w:ascii="Times New Roman" w:eastAsia="Times New Roman"/>
        </w:rPr>
      </w:pPr>
      <w:r>
        <w:fldChar w:fldCharType="begin"/>
      </w:r>
      <w:r>
        <w:instrText xml:space="preserve"> HYPERLINK \l "_bookmark0" </w:instrText>
      </w:r>
      <w:r>
        <w:fldChar w:fldCharType="separate"/>
      </w:r>
      <w:r>
        <w:t>全省总体管控要求</w:t>
      </w:r>
      <w:r>
        <w:tab/>
      </w:r>
      <w:r>
        <w:rPr>
          <w:rFonts w:ascii="Times New Roman" w:eastAsia="Times New Roman"/>
        </w:rPr>
        <w:t>2</w:t>
      </w:r>
      <w:r>
        <w:rPr>
          <w:rFonts w:ascii="Times New Roman" w:eastAsia="Times New Roman"/>
        </w:rPr>
        <w:fldChar w:fldCharType="end"/>
      </w:r>
    </w:p>
    <w:p>
      <w:pPr>
        <w:pStyle w:val="6"/>
        <w:numPr>
          <w:ilvl w:val="1"/>
          <w:numId w:val="1"/>
        </w:numPr>
        <w:tabs>
          <w:tab w:val="left" w:pos="490"/>
          <w:tab w:val="right" w:leader="dot" w:pos="20321"/>
        </w:tabs>
        <w:spacing w:before="33"/>
        <w:ind w:hanging="1630"/>
        <w:rPr>
          <w:rFonts w:ascii="Times New Roman" w:eastAsia="Times New Roman"/>
        </w:rPr>
      </w:pPr>
      <w:r>
        <w:fldChar w:fldCharType="begin"/>
      </w:r>
      <w:r>
        <w:instrText xml:space="preserve"> HYPERLINK \l "_bookmark1" </w:instrText>
      </w:r>
      <w:r>
        <w:fldChar w:fldCharType="separate"/>
      </w:r>
      <w:r>
        <w:t>全省生态</w:t>
      </w:r>
      <w:r>
        <w:rPr>
          <w:spacing w:val="-3"/>
        </w:rPr>
        <w:t>空</w:t>
      </w:r>
      <w:r>
        <w:t>间</w:t>
      </w:r>
      <w:r>
        <w:rPr>
          <w:spacing w:val="-3"/>
        </w:rPr>
        <w:t>总</w:t>
      </w:r>
      <w:r>
        <w:t>体管控</w:t>
      </w:r>
      <w:r>
        <w:rPr>
          <w:spacing w:val="-3"/>
        </w:rPr>
        <w:t>要</w:t>
      </w:r>
      <w:r>
        <w:t>求</w:t>
      </w:r>
      <w:r>
        <w:tab/>
      </w:r>
      <w:r>
        <w:rPr>
          <w:rFonts w:ascii="Times New Roman" w:eastAsia="Times New Roman"/>
        </w:rPr>
        <w:t>2</w:t>
      </w:r>
      <w:r>
        <w:rPr>
          <w:rFonts w:ascii="Times New Roman" w:eastAsia="Times New Roman"/>
        </w:rPr>
        <w:fldChar w:fldCharType="end"/>
      </w:r>
    </w:p>
    <w:p>
      <w:pPr>
        <w:pStyle w:val="6"/>
        <w:numPr>
          <w:ilvl w:val="1"/>
          <w:numId w:val="1"/>
        </w:numPr>
        <w:tabs>
          <w:tab w:val="left" w:pos="490"/>
          <w:tab w:val="right" w:leader="dot" w:pos="20323"/>
        </w:tabs>
        <w:ind w:right="773" w:hanging="1630"/>
        <w:rPr>
          <w:rFonts w:ascii="Times New Roman" w:eastAsia="Times New Roman"/>
        </w:rPr>
      </w:pPr>
      <w:r>
        <w:fldChar w:fldCharType="begin"/>
      </w:r>
      <w:r>
        <w:instrText xml:space="preserve"> HYPERLINK \l "_TOC_250003" </w:instrText>
      </w:r>
      <w:r>
        <w:fldChar w:fldCharType="separate"/>
      </w:r>
      <w:r>
        <w:t>全省水环</w:t>
      </w:r>
      <w:r>
        <w:rPr>
          <w:spacing w:val="-3"/>
        </w:rPr>
        <w:t>境</w:t>
      </w:r>
      <w:r>
        <w:t>总</w:t>
      </w:r>
      <w:r>
        <w:rPr>
          <w:spacing w:val="-3"/>
        </w:rPr>
        <w:t>体</w:t>
      </w:r>
      <w:r>
        <w:t>管控要求</w:t>
      </w:r>
      <w:r>
        <w:tab/>
      </w:r>
      <w:r>
        <w:rPr>
          <w:rFonts w:ascii="Times New Roman" w:eastAsia="Times New Roman"/>
        </w:rPr>
        <w:t>12</w:t>
      </w:r>
      <w:r>
        <w:rPr>
          <w:rFonts w:ascii="Times New Roman" w:eastAsia="Times New Roman"/>
        </w:rPr>
        <w:fldChar w:fldCharType="end"/>
      </w:r>
    </w:p>
    <w:p>
      <w:pPr>
        <w:pStyle w:val="6"/>
        <w:numPr>
          <w:ilvl w:val="1"/>
          <w:numId w:val="1"/>
        </w:numPr>
        <w:tabs>
          <w:tab w:val="left" w:pos="490"/>
          <w:tab w:val="right" w:leader="dot" w:pos="20321"/>
        </w:tabs>
        <w:ind w:hanging="1630"/>
        <w:rPr>
          <w:rFonts w:ascii="Times New Roman" w:eastAsia="Times New Roman"/>
        </w:rPr>
      </w:pPr>
      <w:r>
        <w:fldChar w:fldCharType="begin"/>
      </w:r>
      <w:r>
        <w:instrText xml:space="preserve"> HYPERLINK \l "_bookmark2" </w:instrText>
      </w:r>
      <w:r>
        <w:fldChar w:fldCharType="separate"/>
      </w:r>
      <w:r>
        <w:t>全省大气</w:t>
      </w:r>
      <w:r>
        <w:rPr>
          <w:spacing w:val="-3"/>
        </w:rPr>
        <w:t>环</w:t>
      </w:r>
      <w:r>
        <w:t>境</w:t>
      </w:r>
      <w:r>
        <w:rPr>
          <w:spacing w:val="-3"/>
        </w:rPr>
        <w:t>总</w:t>
      </w:r>
      <w:r>
        <w:t>体管控</w:t>
      </w:r>
      <w:r>
        <w:rPr>
          <w:spacing w:val="-3"/>
        </w:rPr>
        <w:t>要</w:t>
      </w:r>
      <w:r>
        <w:t>求</w:t>
      </w:r>
      <w:r>
        <w:tab/>
      </w:r>
      <w:r>
        <w:rPr>
          <w:rFonts w:ascii="Times New Roman" w:eastAsia="Times New Roman"/>
        </w:rPr>
        <w:t>18</w:t>
      </w:r>
      <w:r>
        <w:rPr>
          <w:rFonts w:ascii="Times New Roman" w:eastAsia="Times New Roman"/>
        </w:rPr>
        <w:fldChar w:fldCharType="end"/>
      </w:r>
    </w:p>
    <w:p>
      <w:pPr>
        <w:pStyle w:val="6"/>
        <w:numPr>
          <w:ilvl w:val="1"/>
          <w:numId w:val="1"/>
        </w:numPr>
        <w:tabs>
          <w:tab w:val="left" w:pos="490"/>
          <w:tab w:val="right" w:leader="dot" w:pos="20321"/>
        </w:tabs>
        <w:ind w:hanging="1630"/>
        <w:rPr>
          <w:rFonts w:ascii="Times New Roman" w:eastAsia="Times New Roman"/>
        </w:rPr>
      </w:pPr>
      <w:r>
        <w:fldChar w:fldCharType="begin"/>
      </w:r>
      <w:r>
        <w:instrText xml:space="preserve"> HYPERLINK \l "_TOC_250002" </w:instrText>
      </w:r>
      <w:r>
        <w:fldChar w:fldCharType="separate"/>
      </w:r>
      <w:r>
        <w:t>全省土壤</w:t>
      </w:r>
      <w:r>
        <w:rPr>
          <w:spacing w:val="-3"/>
        </w:rPr>
        <w:t>环</w:t>
      </w:r>
      <w:r>
        <w:t>境</w:t>
      </w:r>
      <w:r>
        <w:rPr>
          <w:spacing w:val="-3"/>
        </w:rPr>
        <w:t>总</w:t>
      </w:r>
      <w:r>
        <w:t>体管控</w:t>
      </w:r>
      <w:r>
        <w:rPr>
          <w:spacing w:val="-3"/>
        </w:rPr>
        <w:t>要</w:t>
      </w:r>
      <w:r>
        <w:t>求</w:t>
      </w:r>
      <w:r>
        <w:tab/>
      </w:r>
      <w:r>
        <w:rPr>
          <w:rFonts w:ascii="Times New Roman" w:eastAsia="Times New Roman"/>
        </w:rPr>
        <w:t>21</w:t>
      </w:r>
      <w:r>
        <w:rPr>
          <w:rFonts w:ascii="Times New Roman" w:eastAsia="Times New Roman"/>
        </w:rPr>
        <w:fldChar w:fldCharType="end"/>
      </w:r>
    </w:p>
    <w:p>
      <w:pPr>
        <w:pStyle w:val="6"/>
        <w:numPr>
          <w:ilvl w:val="1"/>
          <w:numId w:val="1"/>
        </w:numPr>
        <w:tabs>
          <w:tab w:val="left" w:pos="490"/>
          <w:tab w:val="right" w:leader="dot" w:pos="20321"/>
        </w:tabs>
        <w:ind w:hanging="1630"/>
        <w:rPr>
          <w:rFonts w:ascii="Times New Roman" w:eastAsia="Times New Roman"/>
        </w:rPr>
      </w:pPr>
      <w:r>
        <w:fldChar w:fldCharType="begin"/>
      </w:r>
      <w:r>
        <w:instrText xml:space="preserve"> HYPERLINK \l "_bookmark3" </w:instrText>
      </w:r>
      <w:r>
        <w:fldChar w:fldCharType="separate"/>
      </w:r>
      <w:r>
        <w:t>全省资源</w:t>
      </w:r>
      <w:r>
        <w:rPr>
          <w:spacing w:val="-3"/>
        </w:rPr>
        <w:t>利</w:t>
      </w:r>
      <w:r>
        <w:t>用</w:t>
      </w:r>
      <w:r>
        <w:rPr>
          <w:spacing w:val="-3"/>
        </w:rPr>
        <w:t>总</w:t>
      </w:r>
      <w:r>
        <w:t>体管控</w:t>
      </w:r>
      <w:r>
        <w:rPr>
          <w:spacing w:val="-3"/>
        </w:rPr>
        <w:t>要</w:t>
      </w:r>
      <w:r>
        <w:t>求</w:t>
      </w:r>
      <w:r>
        <w:tab/>
      </w:r>
      <w:r>
        <w:rPr>
          <w:rFonts w:ascii="Times New Roman" w:eastAsia="Times New Roman"/>
        </w:rPr>
        <w:t>2</w:t>
      </w:r>
      <w:r>
        <w:rPr>
          <w:rFonts w:ascii="Times New Roman" w:eastAsia="Times New Roman"/>
        </w:rPr>
        <w:fldChar w:fldCharType="end"/>
      </w:r>
      <w:r>
        <w:rPr>
          <w:rFonts w:ascii="Times New Roman" w:eastAsia="Times New Roman"/>
        </w:rPr>
        <w:t>5</w:t>
      </w:r>
    </w:p>
    <w:p>
      <w:pPr>
        <w:pStyle w:val="5"/>
        <w:numPr>
          <w:ilvl w:val="0"/>
          <w:numId w:val="1"/>
        </w:numPr>
        <w:tabs>
          <w:tab w:val="left" w:pos="284"/>
          <w:tab w:val="right" w:leader="dot" w:pos="20881"/>
        </w:tabs>
        <w:ind w:hanging="864"/>
        <w:rPr>
          <w:rFonts w:ascii="Times New Roman" w:eastAsia="Times New Roman"/>
        </w:rPr>
      </w:pPr>
      <w:r>
        <w:t>黔南州管控要求</w:t>
      </w:r>
      <w:r>
        <w:tab/>
      </w:r>
      <w:r>
        <w:rPr>
          <w:rFonts w:ascii="Times New Roman" w:eastAsia="Times New Roman"/>
        </w:rPr>
        <w:t>2</w:t>
      </w:r>
      <w:r>
        <w:rPr>
          <w:rFonts w:hint="eastAsia" w:ascii="Times New Roman" w:eastAsia="宋体"/>
          <w:lang w:val="en-US"/>
        </w:rPr>
        <w:t>7</w:t>
      </w:r>
    </w:p>
    <w:p>
      <w:pPr>
        <w:pStyle w:val="5"/>
        <w:numPr>
          <w:ilvl w:val="0"/>
          <w:numId w:val="1"/>
        </w:numPr>
        <w:tabs>
          <w:tab w:val="left" w:pos="284"/>
          <w:tab w:val="right" w:leader="dot" w:pos="20881"/>
        </w:tabs>
        <w:ind w:hanging="864"/>
        <w:rPr>
          <w:rFonts w:ascii="Times New Roman" w:eastAsia="Times New Roman"/>
        </w:rPr>
      </w:pPr>
      <w:r>
        <w:fldChar w:fldCharType="begin"/>
      </w:r>
      <w:r>
        <w:instrText xml:space="preserve"> HYPERLINK \l "_TOC_250000" </w:instrText>
      </w:r>
      <w:r>
        <w:fldChar w:fldCharType="separate"/>
      </w:r>
      <w:r>
        <w:rPr>
          <w:rFonts w:hint="eastAsia"/>
        </w:rPr>
        <w:t>罗甸县</w:t>
      </w:r>
      <w:r>
        <w:t>管控单元管控要求</w:t>
      </w:r>
      <w:r>
        <w:tab/>
      </w:r>
      <w:r>
        <w:rPr>
          <w:rFonts w:ascii="Times New Roman" w:eastAsia="Times New Roman"/>
        </w:rPr>
        <w:t>3</w:t>
      </w:r>
      <w:r>
        <w:rPr>
          <w:rFonts w:hint="eastAsia" w:ascii="Times New Roman" w:eastAsia="宋体"/>
          <w:lang w:val="en-US"/>
        </w:rPr>
        <w:t>1</w:t>
      </w:r>
      <w:r>
        <w:rPr>
          <w:rFonts w:hint="eastAsia" w:ascii="Times New Roman" w:eastAsia="宋体"/>
          <w:lang w:val="en-US"/>
        </w:rPr>
        <w:fldChar w:fldCharType="end"/>
      </w:r>
    </w:p>
    <w:p>
      <w:pPr>
        <w:jc w:val="right"/>
        <w:rPr>
          <w:rFonts w:ascii="Times New Roman" w:eastAsia="Times New Roman"/>
        </w:rPr>
        <w:sectPr>
          <w:footerReference r:id="rId3" w:type="default"/>
          <w:pgSz w:w="23760" w:h="16790" w:orient="landscape"/>
          <w:pgMar w:top="1600" w:right="660" w:bottom="1160" w:left="860" w:header="0" w:footer="974" w:gutter="0"/>
          <w:cols w:space="720" w:num="1"/>
        </w:sectPr>
      </w:pPr>
    </w:p>
    <w:p>
      <w:pPr>
        <w:pStyle w:val="7"/>
        <w:numPr>
          <w:ilvl w:val="0"/>
          <w:numId w:val="2"/>
        </w:numPr>
        <w:tabs>
          <w:tab w:val="left" w:pos="1065"/>
        </w:tabs>
      </w:pPr>
      <w:bookmarkStart w:id="0" w:name="_bookmark0"/>
      <w:bookmarkEnd w:id="0"/>
      <w:r>
        <w:t>全省总体管控要求</w:t>
      </w:r>
    </w:p>
    <w:p>
      <w:pPr>
        <w:sectPr>
          <w:footerReference r:id="rId4" w:type="default"/>
          <w:pgSz w:w="23760" w:h="16790" w:orient="landscape"/>
          <w:pgMar w:top="1080" w:right="660" w:bottom="1080" w:left="860" w:header="0" w:footer="894" w:gutter="0"/>
          <w:pgNumType w:start="2"/>
          <w:cols w:space="720" w:num="1"/>
        </w:sectPr>
      </w:pPr>
    </w:p>
    <w:p>
      <w:pPr>
        <w:pStyle w:val="8"/>
        <w:numPr>
          <w:ilvl w:val="1"/>
          <w:numId w:val="2"/>
        </w:numPr>
        <w:tabs>
          <w:tab w:val="left" w:pos="1212"/>
        </w:tabs>
        <w:spacing w:before="319"/>
        <w:ind w:left="1211" w:hanging="632"/>
      </w:pPr>
      <w:bookmarkStart w:id="1" w:name="_bookmark1"/>
      <w:bookmarkEnd w:id="1"/>
      <w:r>
        <w:t>全省生态空间总体管控要求</w:t>
      </w:r>
    </w:p>
    <w:p>
      <w:pPr>
        <w:pStyle w:val="9"/>
        <w:tabs>
          <w:tab w:val="left" w:pos="1422"/>
        </w:tabs>
        <w:spacing w:before="784"/>
        <w:ind w:left="580"/>
        <w:jc w:val="left"/>
      </w:pPr>
      <w:r>
        <w:rPr>
          <w:b w:val="0"/>
        </w:rPr>
        <w:br w:type="column"/>
      </w:r>
      <w:r>
        <w:t>表</w:t>
      </w:r>
      <w:r>
        <w:rPr>
          <w:spacing w:val="-60"/>
        </w:rPr>
        <w:t xml:space="preserve"> </w:t>
      </w:r>
      <w:r>
        <w:rPr>
          <w:rFonts w:ascii="Times New Roman" w:eastAsia="Times New Roman"/>
        </w:rPr>
        <w:t>1.1</w:t>
      </w:r>
      <w:r>
        <w:rPr>
          <w:rFonts w:ascii="Times New Roman" w:eastAsia="Times New Roman"/>
        </w:rPr>
        <w:tab/>
      </w:r>
      <w:r>
        <w:t>贵州省生态空间普</w:t>
      </w:r>
      <w:r>
        <w:rPr>
          <w:spacing w:val="3"/>
        </w:rPr>
        <w:t>适</w:t>
      </w:r>
      <w:r>
        <w:t>性管控要求</w:t>
      </w:r>
    </w:p>
    <w:p>
      <w:pPr>
        <w:sectPr>
          <w:type w:val="continuous"/>
          <w:pgSz w:w="23760" w:h="16790" w:orient="landscape"/>
          <w:pgMar w:top="1600" w:right="660" w:bottom="1160" w:left="860" w:header="720" w:footer="720" w:gutter="0"/>
          <w:cols w:equalWidth="0" w:num="2">
            <w:col w:w="5572" w:space="2860"/>
            <w:col w:w="13808"/>
          </w:cols>
        </w:sectPr>
      </w:pPr>
    </w:p>
    <w:p>
      <w:pPr>
        <w:pStyle w:val="2"/>
        <w:rPr>
          <w:b/>
          <w:sz w:val="20"/>
        </w:rPr>
      </w:pPr>
    </w:p>
    <w:p>
      <w:pPr>
        <w:pStyle w:val="2"/>
        <w:spacing w:before="6"/>
        <w:rPr>
          <w:b/>
          <w:sz w:val="11"/>
        </w:r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1882"/>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114" w:type="dxa"/>
            <w:tcBorders>
              <w:right w:val="single" w:color="000000" w:sz="4" w:space="0"/>
            </w:tcBorders>
          </w:tcPr>
          <w:p>
            <w:pPr>
              <w:pStyle w:val="12"/>
              <w:spacing w:before="32" w:line="250" w:lineRule="exact"/>
              <w:ind w:left="345"/>
              <w:rPr>
                <w:b/>
                <w:sz w:val="21"/>
              </w:rPr>
            </w:pPr>
            <w:r>
              <w:rPr>
                <w:b/>
                <w:sz w:val="21"/>
              </w:rPr>
              <w:t>属性</w:t>
            </w:r>
          </w:p>
        </w:tc>
        <w:tc>
          <w:tcPr>
            <w:tcW w:w="1882" w:type="dxa"/>
            <w:tcBorders>
              <w:left w:val="single" w:color="000000" w:sz="4" w:space="0"/>
              <w:right w:val="single" w:color="000000" w:sz="4" w:space="0"/>
            </w:tcBorders>
          </w:tcPr>
          <w:p>
            <w:pPr>
              <w:pStyle w:val="12"/>
              <w:spacing w:before="25" w:line="257" w:lineRule="exact"/>
              <w:ind w:left="705" w:right="705"/>
              <w:jc w:val="center"/>
              <w:rPr>
                <w:b/>
                <w:sz w:val="21"/>
              </w:rPr>
            </w:pPr>
            <w:r>
              <w:rPr>
                <w:b/>
                <w:sz w:val="21"/>
              </w:rPr>
              <w:t>管控</w:t>
            </w:r>
          </w:p>
        </w:tc>
        <w:tc>
          <w:tcPr>
            <w:tcW w:w="16110" w:type="dxa"/>
            <w:tcBorders>
              <w:left w:val="single" w:color="000000" w:sz="4" w:space="0"/>
            </w:tcBorders>
          </w:tcPr>
          <w:p>
            <w:pPr>
              <w:pStyle w:val="12"/>
              <w:spacing w:before="25" w:line="257" w:lineRule="exact"/>
              <w:ind w:left="7609" w:right="7610"/>
              <w:jc w:val="center"/>
              <w:rPr>
                <w:b/>
                <w:sz w:val="21"/>
              </w:rPr>
            </w:pPr>
            <w:r>
              <w:rPr>
                <w:b/>
                <w:sz w:val="21"/>
              </w:rPr>
              <w:t>管控要求</w:t>
            </w:r>
          </w:p>
        </w:tc>
        <w:tc>
          <w:tcPr>
            <w:tcW w:w="2693" w:type="dxa"/>
          </w:tcPr>
          <w:p>
            <w:pPr>
              <w:pStyle w:val="12"/>
              <w:spacing w:before="32" w:line="250" w:lineRule="exact"/>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14" w:type="dxa"/>
            <w:tcBorders>
              <w:bottom w:val="nil"/>
              <w:right w:val="single" w:color="000000" w:sz="4" w:space="0"/>
            </w:tcBorders>
          </w:tcPr>
          <w:p>
            <w:pPr>
              <w:pStyle w:val="12"/>
              <w:rPr>
                <w:rFonts w:ascii="Times New Roman"/>
                <w:sz w:val="20"/>
              </w:rPr>
            </w:pPr>
          </w:p>
        </w:tc>
        <w:tc>
          <w:tcPr>
            <w:tcW w:w="1882" w:type="dxa"/>
            <w:tcBorders>
              <w:left w:val="single" w:color="000000" w:sz="4" w:space="0"/>
              <w:bottom w:val="nil"/>
              <w:right w:val="single" w:color="000000" w:sz="4" w:space="0"/>
            </w:tcBorders>
          </w:tcPr>
          <w:p>
            <w:pPr>
              <w:pStyle w:val="12"/>
              <w:rPr>
                <w:rFonts w:ascii="Times New Roman"/>
                <w:sz w:val="20"/>
              </w:rPr>
            </w:pPr>
          </w:p>
        </w:tc>
        <w:tc>
          <w:tcPr>
            <w:tcW w:w="16110" w:type="dxa"/>
            <w:tcBorders>
              <w:left w:val="single" w:color="000000" w:sz="4" w:space="0"/>
              <w:bottom w:val="nil"/>
            </w:tcBorders>
          </w:tcPr>
          <w:p>
            <w:pPr>
              <w:pStyle w:val="12"/>
              <w:spacing w:before="8"/>
              <w:rPr>
                <w:b/>
                <w:sz w:val="18"/>
              </w:rPr>
            </w:pPr>
          </w:p>
          <w:p>
            <w:pPr>
              <w:pStyle w:val="12"/>
              <w:spacing w:line="251" w:lineRule="exact"/>
              <w:ind w:left="102"/>
              <w:rPr>
                <w:sz w:val="21"/>
              </w:rPr>
            </w:pPr>
            <w:r>
              <w:rPr>
                <w:b/>
                <w:sz w:val="21"/>
              </w:rPr>
              <w:t xml:space="preserve">第十二条 </w:t>
            </w:r>
            <w:r>
              <w:rPr>
                <w:sz w:val="21"/>
              </w:rPr>
              <w:t>生态保护红线原则上按禁止开发区域的要求进行管理。严禁不符合主体功能定位的各类开发活动，严禁任意改变用途，严格禁止任何单位和个人擅自占用和改变用</w:t>
            </w:r>
          </w:p>
        </w:tc>
        <w:tc>
          <w:tcPr>
            <w:tcW w:w="2693" w:type="dxa"/>
            <w:tcBorders>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2"/>
              <w:ind w:left="102"/>
              <w:rPr>
                <w:sz w:val="21"/>
              </w:rPr>
            </w:pPr>
            <w:r>
              <w:rPr>
                <w:sz w:val="21"/>
              </w:rPr>
              <w:t>地性质，鼓励按照规划开展维护、修复和提升生态功能的活动。因国家重大战略资源勘查需要，在不影响主体功能定位的前提下，经依法批准后予以安排。</w:t>
            </w:r>
          </w:p>
          <w:p>
            <w:pPr>
              <w:pStyle w:val="12"/>
              <w:spacing w:before="3" w:line="251" w:lineRule="exact"/>
              <w:ind w:left="102"/>
              <w:rPr>
                <w:sz w:val="21"/>
              </w:rPr>
            </w:pPr>
            <w:r>
              <w:rPr>
                <w:b/>
                <w:sz w:val="21"/>
              </w:rPr>
              <w:t xml:space="preserve">第十三条 </w:t>
            </w:r>
            <w:r>
              <w:rPr>
                <w:sz w:val="21"/>
              </w:rPr>
              <w:t>禁止生态保护红线内空间违法转为城镇空间和农业空间。加强对农业空间转为生态空间的监督管理，未经国务院批准，禁止将永久基本农田转为城镇空间。</w:t>
            </w:r>
          </w:p>
        </w:tc>
        <w:tc>
          <w:tcPr>
            <w:tcW w:w="2693" w:type="dxa"/>
            <w:tcBorders>
              <w:top w:val="nil"/>
              <w:bottom w:val="nil"/>
            </w:tcBorders>
          </w:tcPr>
          <w:p>
            <w:pPr>
              <w:pStyle w:val="12"/>
              <w:spacing w:before="5"/>
              <w:rPr>
                <w:b/>
                <w:sz w:val="20"/>
              </w:rPr>
            </w:pPr>
          </w:p>
          <w:p>
            <w:pPr>
              <w:pStyle w:val="12"/>
              <w:spacing w:line="263" w:lineRule="exact"/>
              <w:ind w:left="105"/>
              <w:rPr>
                <w:sz w:val="21"/>
              </w:rPr>
            </w:pPr>
            <w:r>
              <w:rPr>
                <w:sz w:val="21"/>
              </w:rPr>
              <w:t>《自然生态空间用途管制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2" w:line="257" w:lineRule="exact"/>
              <w:ind w:left="102"/>
              <w:rPr>
                <w:sz w:val="21"/>
              </w:rPr>
            </w:pPr>
            <w:r>
              <w:rPr>
                <w:b/>
                <w:sz w:val="21"/>
              </w:rPr>
              <w:t xml:space="preserve">第十四条 </w:t>
            </w:r>
            <w:r>
              <w:rPr>
                <w:sz w:val="21"/>
              </w:rPr>
              <w:t>禁止新增建设占用生态保护红线，确因国家重大基础设施、重大民生保障项目建设等无法避让的，由省级人民政府组织论证，提出调整方案，经环境保护部、国家</w:t>
            </w:r>
          </w:p>
        </w:tc>
        <w:tc>
          <w:tcPr>
            <w:tcW w:w="2693" w:type="dxa"/>
            <w:tcBorders>
              <w:top w:val="nil"/>
              <w:bottom w:val="nil"/>
            </w:tcBorders>
          </w:tcPr>
          <w:p>
            <w:pPr>
              <w:pStyle w:val="12"/>
              <w:spacing w:before="17" w:line="243" w:lineRule="exact"/>
              <w:ind w:left="105"/>
              <w:rPr>
                <w:sz w:val="21"/>
              </w:rPr>
            </w:pPr>
            <w:r>
              <w:rPr>
                <w:spacing w:val="14"/>
                <w:sz w:val="21"/>
              </w:rPr>
              <w:t>办法（</w:t>
            </w:r>
            <w:r>
              <w:rPr>
                <w:spacing w:val="12"/>
                <w:sz w:val="21"/>
              </w:rPr>
              <w:t>试行</w:t>
            </w:r>
            <w:r>
              <w:rPr>
                <w:spacing w:val="-92"/>
                <w:sz w:val="21"/>
              </w:rPr>
              <w:t>）</w:t>
            </w:r>
            <w:r>
              <w:rPr>
                <w:spacing w:val="-89"/>
                <w:sz w:val="21"/>
              </w:rPr>
              <w:t>》</w:t>
            </w:r>
            <w:r>
              <w:rPr>
                <w:spacing w:val="14"/>
                <w:sz w:val="21"/>
              </w:rPr>
              <w:t>（</w:t>
            </w:r>
            <w:r>
              <w:rPr>
                <w:spacing w:val="9"/>
                <w:sz w:val="21"/>
              </w:rPr>
              <w:t>国土资发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line="264" w:lineRule="exact"/>
              <w:ind w:left="102"/>
              <w:rPr>
                <w:sz w:val="21"/>
              </w:rPr>
            </w:pPr>
            <w:r>
              <w:rPr>
                <w:sz w:val="21"/>
              </w:rPr>
              <w:t>发展改革委会同有关部门提出审核意见后，报经国务院批准。生态保护红线内的原有居住用地和其他建设用地，不得随意扩建和改建。</w:t>
            </w:r>
          </w:p>
        </w:tc>
        <w:tc>
          <w:tcPr>
            <w:tcW w:w="2693" w:type="dxa"/>
            <w:tcBorders>
              <w:top w:val="nil"/>
              <w:bottom w:val="nil"/>
            </w:tcBorders>
          </w:tcPr>
          <w:p>
            <w:pPr>
              <w:pStyle w:val="12"/>
              <w:spacing w:before="38" w:line="241" w:lineRule="exact"/>
              <w:ind w:left="105"/>
              <w:rPr>
                <w:sz w:val="21"/>
              </w:rPr>
            </w:pPr>
            <w:r>
              <w:rPr>
                <w:sz w:val="21"/>
              </w:rPr>
              <w:t>〔</w:t>
            </w:r>
            <w:r>
              <w:rPr>
                <w:rFonts w:ascii="Calibri" w:eastAsia="Calibri"/>
                <w:sz w:val="21"/>
              </w:rPr>
              <w:t>2017</w:t>
            </w:r>
            <w:r>
              <w:rPr>
                <w:sz w:val="21"/>
              </w:rPr>
              <w:t>〕</w:t>
            </w:r>
            <w:r>
              <w:rPr>
                <w:rFonts w:ascii="Calibri" w:eastAsia="Calibri"/>
                <w:sz w:val="21"/>
              </w:rPr>
              <w:t xml:space="preserve">33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single" w:color="000000" w:sz="4" w:space="0"/>
            </w:tcBorders>
          </w:tcPr>
          <w:p>
            <w:pPr>
              <w:pStyle w:val="12"/>
              <w:spacing w:line="239" w:lineRule="exact"/>
              <w:ind w:left="102"/>
              <w:rPr>
                <w:sz w:val="21"/>
              </w:rPr>
            </w:pPr>
            <w:r>
              <w:rPr>
                <w:b/>
                <w:sz w:val="21"/>
              </w:rPr>
              <w:t xml:space="preserve">第十五条 </w:t>
            </w:r>
            <w:r>
              <w:rPr>
                <w:sz w:val="21"/>
              </w:rPr>
              <w:t>禁止农业开发占用生态保护红线内的生态空间，生态保护红线内已有的农业用地，建立逐步退出机制，恢复生态用途。</w:t>
            </w:r>
          </w:p>
          <w:p>
            <w:pPr>
              <w:pStyle w:val="12"/>
              <w:spacing w:before="2"/>
              <w:ind w:left="102"/>
              <w:rPr>
                <w:sz w:val="21"/>
              </w:rPr>
            </w:pPr>
            <w:r>
              <w:rPr>
                <w:b/>
                <w:sz w:val="21"/>
              </w:rPr>
              <w:t xml:space="preserve">第十六条 </w:t>
            </w:r>
            <w:r>
              <w:rPr>
                <w:sz w:val="21"/>
              </w:rPr>
              <w:t>有序引导生态空间用途之间的相互转变，鼓励向有利于生态功能提升的方向转变，严格禁止不符合生态保护要求或有损生态功能的相互转换。</w:t>
            </w:r>
          </w:p>
        </w:tc>
        <w:tc>
          <w:tcPr>
            <w:tcW w:w="2693" w:type="dxa"/>
            <w:tcBorders>
              <w:top w:val="nil"/>
              <w:bottom w:val="single" w:color="000000" w:sz="4"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single" w:color="000000" w:sz="4" w:space="0"/>
              <w:left w:val="single" w:color="000000" w:sz="4" w:space="0"/>
              <w:bottom w:val="nil"/>
            </w:tcBorders>
          </w:tcPr>
          <w:p>
            <w:pPr>
              <w:pStyle w:val="12"/>
              <w:spacing w:before="153" w:line="270" w:lineRule="atLeast"/>
              <w:ind w:left="102" w:right="-15"/>
              <w:rPr>
                <w:sz w:val="21"/>
              </w:rPr>
            </w:pPr>
            <w:r>
              <w:rPr>
                <w:b/>
                <w:sz w:val="21"/>
              </w:rPr>
              <w:t>（九</w:t>
            </w:r>
            <w:r>
              <w:rPr>
                <w:b/>
                <w:spacing w:val="-32"/>
                <w:sz w:val="21"/>
              </w:rPr>
              <w:t>）</w:t>
            </w:r>
            <w:r>
              <w:rPr>
                <w:b/>
                <w:spacing w:val="-5"/>
                <w:sz w:val="21"/>
              </w:rPr>
              <w:t>实行严格管控。</w:t>
            </w:r>
            <w:r>
              <w:rPr>
                <w:spacing w:val="-8"/>
                <w:sz w:val="21"/>
              </w:rPr>
              <w:t>生态保护红线原则上按禁止开发区域的要求进行管理。严禁不符合主体功能定位的各类开发活动，严禁任意改变用途。生态保护红线划定后，只能增加、</w:t>
            </w:r>
            <w:r>
              <w:rPr>
                <w:spacing w:val="-14"/>
                <w:sz w:val="21"/>
              </w:rPr>
              <w:t>不能减少，因国家重大基础设施、重大民生保障项目建设等需要调整的，由省级政府组织论证，提出调整方案，经环境保护部、国家发展改革委会同有关部门提出审核意见后，</w:t>
            </w:r>
          </w:p>
        </w:tc>
        <w:tc>
          <w:tcPr>
            <w:tcW w:w="2693" w:type="dxa"/>
            <w:tcBorders>
              <w:top w:val="single" w:color="000000" w:sz="4" w:space="0"/>
              <w:bottom w:val="nil"/>
            </w:tcBorders>
          </w:tcPr>
          <w:p>
            <w:pPr>
              <w:pStyle w:val="12"/>
              <w:spacing w:before="111" w:line="300" w:lineRule="atLeast"/>
              <w:ind w:left="105" w:right="42"/>
              <w:rPr>
                <w:sz w:val="21"/>
              </w:rPr>
            </w:pPr>
            <w:r>
              <w:rPr>
                <w:sz w:val="21"/>
              </w:rPr>
              <w:t>中共中央办公厅 国务院办公厅印发《关于划定并严守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single" w:color="000000" w:sz="4" w:space="0"/>
            </w:tcBorders>
          </w:tcPr>
          <w:p>
            <w:pPr>
              <w:pStyle w:val="12"/>
              <w:spacing w:line="257" w:lineRule="exact"/>
              <w:ind w:left="102"/>
              <w:rPr>
                <w:sz w:val="21"/>
              </w:rPr>
            </w:pPr>
            <w:r>
              <w:rPr>
                <w:sz w:val="21"/>
              </w:rPr>
              <w:t>报国务院批准。因国家重大战略资源勘查需要，在不影响主体功能定位的前提下，经依法批准后予以安排勘查项目。</w:t>
            </w:r>
          </w:p>
        </w:tc>
        <w:tc>
          <w:tcPr>
            <w:tcW w:w="2693" w:type="dxa"/>
            <w:tcBorders>
              <w:top w:val="nil"/>
              <w:bottom w:val="single" w:color="000000" w:sz="4" w:space="0"/>
            </w:tcBorders>
          </w:tcPr>
          <w:p>
            <w:pPr>
              <w:pStyle w:val="12"/>
              <w:spacing w:before="31"/>
              <w:ind w:left="105"/>
              <w:rPr>
                <w:sz w:val="21"/>
              </w:rPr>
            </w:pPr>
            <w:r>
              <w:rPr>
                <w:sz w:val="21"/>
              </w:rPr>
              <w:t>生态保护红线的若干意见》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b/>
                <w:sz w:val="20"/>
              </w:rPr>
            </w:pPr>
          </w:p>
          <w:p>
            <w:pPr>
              <w:pStyle w:val="12"/>
              <w:rPr>
                <w:b/>
                <w:sz w:val="25"/>
              </w:rPr>
            </w:pPr>
          </w:p>
          <w:p>
            <w:pPr>
              <w:pStyle w:val="12"/>
              <w:spacing w:line="227" w:lineRule="exact"/>
              <w:ind w:left="105"/>
              <w:rPr>
                <w:sz w:val="21"/>
              </w:rPr>
            </w:pPr>
            <w:r>
              <w:rPr>
                <w:sz w:val="21"/>
              </w:rPr>
              <w:t>禁止开发建设活</w:t>
            </w:r>
          </w:p>
        </w:tc>
        <w:tc>
          <w:tcPr>
            <w:tcW w:w="16110" w:type="dxa"/>
            <w:tcBorders>
              <w:top w:val="single" w:color="000000" w:sz="4" w:space="0"/>
              <w:left w:val="single" w:color="000000" w:sz="4" w:space="0"/>
              <w:bottom w:val="nil"/>
            </w:tcBorders>
          </w:tcPr>
          <w:p>
            <w:pPr>
              <w:pStyle w:val="12"/>
              <w:rPr>
                <w:b/>
                <w:sz w:val="20"/>
              </w:rPr>
            </w:pPr>
          </w:p>
          <w:p>
            <w:pPr>
              <w:pStyle w:val="12"/>
              <w:spacing w:before="9"/>
              <w:rPr>
                <w:b/>
                <w:sz w:val="20"/>
              </w:rPr>
            </w:pPr>
          </w:p>
          <w:p>
            <w:pPr>
              <w:pStyle w:val="12"/>
              <w:ind w:left="102"/>
              <w:rPr>
                <w:sz w:val="21"/>
              </w:rPr>
            </w:pPr>
            <w:r>
              <w:rPr>
                <w:b/>
                <w:sz w:val="21"/>
              </w:rPr>
              <w:t xml:space="preserve">第五条【管理原则】 </w:t>
            </w:r>
            <w:r>
              <w:rPr>
                <w:sz w:val="21"/>
              </w:rPr>
              <w:t>生态保护红线原则上按禁止开发区域的要求进行管理。遵循生态优先、严格管控、奖惩并重的原则，严禁不符合主体功能定位的各类开发活动，根据生</w:t>
            </w:r>
          </w:p>
        </w:tc>
        <w:tc>
          <w:tcPr>
            <w:tcW w:w="2693" w:type="dxa"/>
            <w:tcBorders>
              <w:top w:val="single" w:color="000000" w:sz="4" w:space="0"/>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spacing w:before="34" w:line="227" w:lineRule="exact"/>
              <w:ind w:left="105"/>
              <w:rPr>
                <w:sz w:val="21"/>
              </w:rPr>
            </w:pPr>
            <w:r>
              <w:rPr>
                <w:sz w:val="21"/>
              </w:rPr>
              <w:t>动的要求</w:t>
            </w:r>
          </w:p>
        </w:tc>
        <w:tc>
          <w:tcPr>
            <w:tcW w:w="16110" w:type="dxa"/>
            <w:tcBorders>
              <w:top w:val="nil"/>
              <w:left w:val="single" w:color="000000" w:sz="4" w:space="0"/>
              <w:bottom w:val="nil"/>
            </w:tcBorders>
          </w:tcPr>
          <w:p>
            <w:pPr>
              <w:pStyle w:val="12"/>
              <w:spacing w:line="248" w:lineRule="exact"/>
              <w:ind w:left="102"/>
              <w:rPr>
                <w:sz w:val="21"/>
              </w:rPr>
            </w:pPr>
            <w:r>
              <w:rPr>
                <w:sz w:val="21"/>
              </w:rPr>
              <w:t>态功能定位，实施差别化管理，确保生态保护红线生态功能不降低、面积不减少、性质不改变。</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114" w:type="dxa"/>
            <w:tcBorders>
              <w:top w:val="nil"/>
              <w:bottom w:val="nil"/>
              <w:right w:val="single" w:color="000000" w:sz="4" w:space="0"/>
            </w:tcBorders>
          </w:tcPr>
          <w:p>
            <w:pPr>
              <w:pStyle w:val="12"/>
              <w:rPr>
                <w:rFonts w:ascii="Times New Roman"/>
                <w:sz w:val="18"/>
              </w:rPr>
            </w:pPr>
          </w:p>
        </w:tc>
        <w:tc>
          <w:tcPr>
            <w:tcW w:w="1882" w:type="dxa"/>
            <w:tcBorders>
              <w:top w:val="nil"/>
              <w:left w:val="single" w:color="000000" w:sz="4" w:space="0"/>
              <w:bottom w:val="nil"/>
              <w:right w:val="single" w:color="000000" w:sz="4" w:space="0"/>
            </w:tcBorders>
          </w:tcPr>
          <w:p>
            <w:pPr>
              <w:pStyle w:val="12"/>
              <w:rPr>
                <w:rFonts w:ascii="Times New Roman"/>
                <w:sz w:val="18"/>
              </w:rPr>
            </w:pPr>
          </w:p>
        </w:tc>
        <w:tc>
          <w:tcPr>
            <w:tcW w:w="16110" w:type="dxa"/>
            <w:tcBorders>
              <w:top w:val="nil"/>
              <w:left w:val="single" w:color="000000" w:sz="4" w:space="0"/>
              <w:bottom w:val="nil"/>
            </w:tcBorders>
          </w:tcPr>
          <w:p>
            <w:pPr>
              <w:pStyle w:val="12"/>
              <w:spacing w:line="232" w:lineRule="exact"/>
              <w:ind w:left="102"/>
              <w:rPr>
                <w:sz w:val="21"/>
              </w:rPr>
            </w:pPr>
            <w:r>
              <w:rPr>
                <w:b/>
                <w:sz w:val="21"/>
              </w:rPr>
              <w:t>第十六条【管控要求】</w:t>
            </w:r>
            <w:r>
              <w:rPr>
                <w:sz w:val="21"/>
              </w:rPr>
              <w:t>生态保护红线内禁止城镇化和工业化活动，严禁不符合主体功能定位的各类开发活动。</w:t>
            </w:r>
          </w:p>
        </w:tc>
        <w:tc>
          <w:tcPr>
            <w:tcW w:w="2693" w:type="dxa"/>
            <w:tcBorders>
              <w:top w:val="nil"/>
              <w:bottom w:val="nil"/>
            </w:tcBorders>
          </w:tcPr>
          <w:p>
            <w:pPr>
              <w:pStyle w:val="12"/>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5" w:line="255" w:lineRule="exact"/>
              <w:ind w:left="102"/>
              <w:rPr>
                <w:sz w:val="21"/>
              </w:rPr>
            </w:pPr>
            <w:r>
              <w:rPr>
                <w:sz w:val="21"/>
              </w:rPr>
              <w:t>对生态保护红线内的自然保护区、国家公园、风景名胜区、森林公园、地质公园、世界自然遗产、湿地公园、饮用水水源保护区等各类保护地的管理，法律法规和规章另有规</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6" w:line="254" w:lineRule="exact"/>
              <w:ind w:left="102"/>
              <w:rPr>
                <w:sz w:val="21"/>
              </w:rPr>
            </w:pPr>
            <w:r>
              <w:rPr>
                <w:sz w:val="21"/>
              </w:rPr>
              <w:t>定的，从其规定。</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114" w:type="dxa"/>
            <w:tcBorders>
              <w:top w:val="nil"/>
              <w:bottom w:val="nil"/>
              <w:right w:val="single" w:color="000000" w:sz="4" w:space="0"/>
            </w:tcBorders>
          </w:tcPr>
          <w:p>
            <w:pPr>
              <w:pStyle w:val="12"/>
              <w:spacing w:before="148" w:line="266" w:lineRule="auto"/>
              <w:ind w:left="345" w:right="125" w:hanging="209"/>
              <w:rPr>
                <w:sz w:val="21"/>
              </w:rPr>
            </w:pPr>
            <w:r>
              <w:rPr>
                <w:sz w:val="21"/>
              </w:rPr>
              <w:t>生态保护红线</w:t>
            </w: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6"/>
              <w:ind w:left="102"/>
              <w:rPr>
                <w:b/>
                <w:sz w:val="21"/>
              </w:rPr>
            </w:pPr>
            <w:r>
              <w:rPr>
                <w:b/>
                <w:sz w:val="21"/>
              </w:rPr>
              <w:t>第十七条【禁止类活动】生态保护红线内禁止开展以下人类活动：</w:t>
            </w:r>
          </w:p>
          <w:p>
            <w:pPr>
              <w:pStyle w:val="12"/>
              <w:spacing w:before="9"/>
              <w:ind w:left="102"/>
              <w:rPr>
                <w:sz w:val="21"/>
              </w:rPr>
            </w:pPr>
            <w:r>
              <w:rPr>
                <w:sz w:val="21"/>
              </w:rPr>
              <w:t>（一）矿产资源开发活动；</w:t>
            </w:r>
          </w:p>
          <w:p>
            <w:pPr>
              <w:pStyle w:val="12"/>
              <w:spacing w:before="12"/>
              <w:ind w:left="102"/>
              <w:rPr>
                <w:sz w:val="21"/>
              </w:rPr>
            </w:pPr>
            <w:r>
              <w:rPr>
                <w:sz w:val="21"/>
              </w:rPr>
              <w:t>（二）围填海、采砂等破坏海河湖岸线等活动；</w:t>
            </w:r>
          </w:p>
          <w:p>
            <w:pPr>
              <w:pStyle w:val="12"/>
              <w:spacing w:before="12" w:line="253" w:lineRule="exact"/>
              <w:ind w:left="102"/>
              <w:rPr>
                <w:sz w:val="21"/>
              </w:rPr>
            </w:pPr>
            <w:r>
              <w:rPr>
                <w:sz w:val="21"/>
              </w:rPr>
              <w:t>（三）大规模农业开发活动，包括大面积开荒，规模化养殖、捕捞活动；</w:t>
            </w:r>
          </w:p>
        </w:tc>
        <w:tc>
          <w:tcPr>
            <w:tcW w:w="2693" w:type="dxa"/>
            <w:tcBorders>
              <w:top w:val="nil"/>
              <w:bottom w:val="nil"/>
            </w:tcBorders>
          </w:tcPr>
          <w:p>
            <w:pPr>
              <w:pStyle w:val="12"/>
              <w:rPr>
                <w:b/>
                <w:sz w:val="20"/>
              </w:rPr>
            </w:pPr>
          </w:p>
          <w:p>
            <w:pPr>
              <w:pStyle w:val="12"/>
              <w:spacing w:before="165"/>
              <w:ind w:left="105"/>
              <w:rPr>
                <w:sz w:val="21"/>
              </w:rPr>
            </w:pPr>
            <w:r>
              <w:rPr>
                <w:sz w:val="21"/>
              </w:rPr>
              <w:t>《生态保护红线管理办法</w:t>
            </w:r>
          </w:p>
          <w:p>
            <w:pPr>
              <w:pStyle w:val="12"/>
              <w:spacing w:before="31"/>
              <w:ind w:left="105"/>
              <w:rPr>
                <w:sz w:val="21"/>
              </w:rPr>
            </w:pPr>
            <w:r>
              <w:rPr>
                <w:sz w:val="21"/>
              </w:rPr>
              <w:t>（</w:t>
            </w:r>
            <w:r>
              <w:rPr>
                <w:spacing w:val="-2"/>
                <w:sz w:val="21"/>
              </w:rPr>
              <w:t>暂行</w:t>
            </w:r>
            <w:r>
              <w:rPr>
                <w:spacing w:val="-10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5" w:line="255" w:lineRule="exact"/>
              <w:ind w:left="102"/>
              <w:rPr>
                <w:sz w:val="21"/>
              </w:rPr>
            </w:pPr>
            <w:r>
              <w:rPr>
                <w:sz w:val="21"/>
              </w:rPr>
              <w:t>（四）纺织印染、制革、造纸印刷、石化、化工、医药、非金属、黑色金属、有色金属等制造业活动；</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6" w:line="254" w:lineRule="exact"/>
              <w:ind w:left="102"/>
              <w:rPr>
                <w:sz w:val="21"/>
              </w:rPr>
            </w:pPr>
            <w:r>
              <w:rPr>
                <w:sz w:val="21"/>
              </w:rPr>
              <w:t>（五）房地产开发活动；</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6" w:line="250" w:lineRule="exact"/>
              <w:ind w:left="102"/>
              <w:rPr>
                <w:sz w:val="21"/>
              </w:rPr>
            </w:pPr>
            <w:r>
              <w:rPr>
                <w:sz w:val="21"/>
              </w:rPr>
              <w:t>（六）客（货）运车站、港口、机场建设，火力发电、核力发电活动，以及危险品仓储等；</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rPr>
                <w:rFonts w:ascii="Times New Roman"/>
                <w:sz w:val="20"/>
              </w:rPr>
            </w:pPr>
          </w:p>
        </w:tc>
        <w:tc>
          <w:tcPr>
            <w:tcW w:w="16110" w:type="dxa"/>
            <w:tcBorders>
              <w:top w:val="nil"/>
              <w:left w:val="single" w:color="000000" w:sz="4" w:space="0"/>
              <w:bottom w:val="nil"/>
            </w:tcBorders>
          </w:tcPr>
          <w:p>
            <w:pPr>
              <w:pStyle w:val="12"/>
              <w:spacing w:before="8"/>
              <w:ind w:left="102"/>
              <w:rPr>
                <w:sz w:val="21"/>
              </w:rPr>
            </w:pPr>
            <w:r>
              <w:rPr>
                <w:sz w:val="21"/>
              </w:rPr>
              <w:t>（七</w:t>
            </w:r>
            <w:r>
              <w:rPr>
                <w:spacing w:val="-3"/>
                <w:sz w:val="21"/>
              </w:rPr>
              <w:t>）生产《环境保护综合名录</w:t>
            </w:r>
            <w:r>
              <w:rPr>
                <w:sz w:val="21"/>
              </w:rPr>
              <w:t>（</w:t>
            </w:r>
            <w:r>
              <w:rPr>
                <w:rFonts w:ascii="Times New Roman" w:hAnsi="Times New Roman" w:eastAsia="Times New Roman"/>
                <w:sz w:val="21"/>
              </w:rPr>
              <w:t xml:space="preserve">2017 </w:t>
            </w:r>
            <w:r>
              <w:rPr>
                <w:sz w:val="21"/>
              </w:rPr>
              <w:t>年版</w:t>
            </w:r>
            <w:r>
              <w:rPr>
                <w:spacing w:val="-108"/>
                <w:sz w:val="21"/>
              </w:rPr>
              <w:t>）</w:t>
            </w:r>
            <w:r>
              <w:rPr>
                <w:spacing w:val="-3"/>
                <w:sz w:val="21"/>
              </w:rPr>
              <w:t>》所列“高污染、高环境风险”的产品；</w:t>
            </w:r>
          </w:p>
          <w:p>
            <w:pPr>
              <w:pStyle w:val="12"/>
              <w:spacing w:before="12" w:line="254" w:lineRule="exact"/>
              <w:ind w:left="102"/>
              <w:rPr>
                <w:sz w:val="21"/>
              </w:rPr>
            </w:pPr>
            <w:r>
              <w:rPr>
                <w:sz w:val="21"/>
              </w:rPr>
              <w:t>（八</w:t>
            </w:r>
            <w:r>
              <w:rPr>
                <w:spacing w:val="-108"/>
                <w:sz w:val="21"/>
              </w:rPr>
              <w:t>）</w:t>
            </w:r>
            <w:r>
              <w:rPr>
                <w:spacing w:val="-3"/>
                <w:sz w:val="21"/>
              </w:rPr>
              <w:t>《环境污染强制责任保险管理办法》所指的环境高风险生产经营活动；</w:t>
            </w:r>
          </w:p>
        </w:tc>
        <w:tc>
          <w:tcPr>
            <w:tcW w:w="2693"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right w:val="single" w:color="000000" w:sz="4" w:space="0"/>
            </w:tcBorders>
          </w:tcPr>
          <w:p>
            <w:pPr>
              <w:pStyle w:val="12"/>
              <w:rPr>
                <w:rFonts w:ascii="Times New Roman"/>
                <w:sz w:val="20"/>
              </w:rPr>
            </w:pPr>
          </w:p>
        </w:tc>
        <w:tc>
          <w:tcPr>
            <w:tcW w:w="16110" w:type="dxa"/>
            <w:tcBorders>
              <w:top w:val="nil"/>
              <w:left w:val="single" w:color="000000" w:sz="4" w:space="0"/>
              <w:bottom w:val="single" w:color="000000" w:sz="4" w:space="0"/>
            </w:tcBorders>
          </w:tcPr>
          <w:p>
            <w:pPr>
              <w:pStyle w:val="12"/>
              <w:spacing w:before="6"/>
              <w:ind w:left="102"/>
              <w:rPr>
                <w:sz w:val="21"/>
              </w:rPr>
            </w:pPr>
            <w:r>
              <w:rPr>
                <w:sz w:val="21"/>
              </w:rPr>
              <w:t>（九）法律法规禁止的其他活动。</w:t>
            </w:r>
          </w:p>
        </w:tc>
        <w:tc>
          <w:tcPr>
            <w:tcW w:w="2693" w:type="dxa"/>
            <w:tcBorders>
              <w:top w:val="nil"/>
              <w:bottom w:val="single" w:color="000000" w:sz="4"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left w:val="single" w:color="000000" w:sz="4" w:space="0"/>
              <w:bottom w:val="nil"/>
              <w:right w:val="single" w:color="000000" w:sz="4" w:space="0"/>
            </w:tcBorders>
          </w:tcPr>
          <w:p>
            <w:pPr>
              <w:pStyle w:val="12"/>
              <w:rPr>
                <w:rFonts w:ascii="Times New Roman"/>
                <w:sz w:val="20"/>
              </w:rPr>
            </w:pPr>
          </w:p>
        </w:tc>
        <w:tc>
          <w:tcPr>
            <w:tcW w:w="16110" w:type="dxa"/>
            <w:tcBorders>
              <w:top w:val="single" w:color="000000" w:sz="4" w:space="0"/>
              <w:left w:val="single" w:color="000000" w:sz="4" w:space="0"/>
              <w:bottom w:val="nil"/>
            </w:tcBorders>
          </w:tcPr>
          <w:p>
            <w:pPr>
              <w:pStyle w:val="12"/>
              <w:rPr>
                <w:b/>
                <w:sz w:val="20"/>
              </w:rPr>
            </w:pPr>
          </w:p>
          <w:p>
            <w:pPr>
              <w:pStyle w:val="12"/>
              <w:rPr>
                <w:b/>
                <w:sz w:val="20"/>
              </w:rPr>
            </w:pPr>
          </w:p>
          <w:p>
            <w:pPr>
              <w:pStyle w:val="12"/>
              <w:spacing w:before="3"/>
              <w:rPr>
                <w:b/>
              </w:rPr>
            </w:pPr>
          </w:p>
          <w:p>
            <w:pPr>
              <w:pStyle w:val="12"/>
              <w:spacing w:line="249" w:lineRule="exact"/>
              <w:ind w:left="102"/>
              <w:rPr>
                <w:sz w:val="21"/>
              </w:rPr>
            </w:pPr>
            <w:r>
              <w:rPr>
                <w:b/>
                <w:sz w:val="21"/>
              </w:rPr>
              <w:t>（四）</w:t>
            </w:r>
            <w:r>
              <w:rPr>
                <w:sz w:val="21"/>
              </w:rPr>
              <w:t>生态保护红线内，自然保护地核心保护区原则上禁止人为活动，其他区域严格禁止开发性、生产性建设活动，在符合现行法律法规前提下，除国家重大战略项目外，仅</w:t>
            </w:r>
          </w:p>
        </w:tc>
        <w:tc>
          <w:tcPr>
            <w:tcW w:w="2693" w:type="dxa"/>
            <w:tcBorders>
              <w:top w:val="single" w:color="000000" w:sz="4" w:space="0"/>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114" w:type="dxa"/>
            <w:tcBorders>
              <w:top w:val="nil"/>
              <w:bottom w:val="nil"/>
              <w:right w:val="single" w:color="000000" w:sz="4" w:space="0"/>
            </w:tcBorders>
          </w:tcPr>
          <w:p>
            <w:pPr>
              <w:pStyle w:val="12"/>
              <w:rPr>
                <w:rFonts w:ascii="Times New Roman"/>
                <w:sz w:val="20"/>
              </w:rPr>
            </w:pPr>
          </w:p>
        </w:tc>
        <w:tc>
          <w:tcPr>
            <w:tcW w:w="1882" w:type="dxa"/>
            <w:tcBorders>
              <w:top w:val="nil"/>
              <w:left w:val="single" w:color="000000" w:sz="4" w:space="0"/>
              <w:bottom w:val="nil"/>
              <w:right w:val="single" w:color="000000" w:sz="4" w:space="0"/>
            </w:tcBorders>
          </w:tcPr>
          <w:p>
            <w:pPr>
              <w:pStyle w:val="12"/>
              <w:spacing w:before="151" w:line="249" w:lineRule="auto"/>
              <w:ind w:left="105" w:right="291"/>
              <w:rPr>
                <w:sz w:val="21"/>
              </w:rPr>
            </w:pPr>
            <w:r>
              <w:rPr>
                <w:sz w:val="21"/>
              </w:rPr>
              <w:t>限制开发建设活动的要求</w:t>
            </w:r>
          </w:p>
        </w:tc>
        <w:tc>
          <w:tcPr>
            <w:tcW w:w="16110" w:type="dxa"/>
            <w:tcBorders>
              <w:top w:val="nil"/>
              <w:left w:val="single" w:color="000000" w:sz="4" w:space="0"/>
              <w:bottom w:val="nil"/>
            </w:tcBorders>
          </w:tcPr>
          <w:p>
            <w:pPr>
              <w:pStyle w:val="12"/>
              <w:spacing w:before="12"/>
              <w:ind w:left="102" w:right="-15"/>
              <w:rPr>
                <w:sz w:val="21"/>
              </w:rPr>
            </w:pPr>
            <w:r>
              <w:rPr>
                <w:spacing w:val="-11"/>
                <w:sz w:val="21"/>
              </w:rPr>
              <w:t>允许对生态功能不造成破坏的有限人为活动，主要包括：零星的原住民在不扩大现有建设用地和耕地规模前提下，修缮生产生活设施，保留生活必需的少量种植、放牧、捕捞、</w:t>
            </w:r>
          </w:p>
          <w:p>
            <w:pPr>
              <w:pStyle w:val="12"/>
              <w:spacing w:before="1" w:line="280" w:lineRule="atLeast"/>
              <w:ind w:left="102" w:right="97"/>
              <w:rPr>
                <w:sz w:val="21"/>
              </w:rPr>
            </w:pPr>
            <w:r>
              <w:rPr>
                <w:spacing w:val="-8"/>
                <w:sz w:val="21"/>
              </w:rPr>
              <w:t>养殖；因国家重大能源资源安全需要开展的战略性能源资源勘查，公益性自然资源调查和地质勘查；自然资源、生态环境监测和执法包括水文水资源监测及涉水违法事件的查</w:t>
            </w:r>
            <w:r>
              <w:rPr>
                <w:spacing w:val="-11"/>
                <w:sz w:val="21"/>
              </w:rPr>
              <w:t>处等，灾害防治和应急抢险活动；经依法批准进行的非破坏性科学研究观测、标本采集；经依法批准的考古调查发掘和文物保护活动；不破坏生态功能的适度参观旅游和相关</w:t>
            </w:r>
          </w:p>
        </w:tc>
        <w:tc>
          <w:tcPr>
            <w:tcW w:w="2693" w:type="dxa"/>
            <w:tcBorders>
              <w:top w:val="nil"/>
              <w:bottom w:val="nil"/>
            </w:tcBorders>
          </w:tcPr>
          <w:p>
            <w:pPr>
              <w:pStyle w:val="12"/>
              <w:spacing w:line="266" w:lineRule="auto"/>
              <w:ind w:left="105" w:right="103"/>
              <w:rPr>
                <w:sz w:val="21"/>
              </w:rPr>
            </w:pPr>
            <w:r>
              <w:rPr>
                <w:sz w:val="21"/>
              </w:rPr>
              <w:t>《关于在国土空间规划中统筹划定落实三条控制线</w:t>
            </w:r>
          </w:p>
          <w:p>
            <w:pPr>
              <w:pStyle w:val="12"/>
              <w:spacing w:before="3" w:line="240" w:lineRule="exact"/>
              <w:ind w:left="105"/>
              <w:rPr>
                <w:sz w:val="21"/>
              </w:rPr>
            </w:pPr>
            <w:r>
              <w:rPr>
                <w:sz w:val="21"/>
              </w:rPr>
              <w:t>的指导意见》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114" w:type="dxa"/>
            <w:tcBorders>
              <w:top w:val="nil"/>
              <w:right w:val="single" w:color="000000" w:sz="4" w:space="0"/>
            </w:tcBorders>
          </w:tcPr>
          <w:p>
            <w:pPr>
              <w:pStyle w:val="12"/>
              <w:rPr>
                <w:rFonts w:ascii="Times New Roman"/>
                <w:sz w:val="20"/>
              </w:rPr>
            </w:pPr>
          </w:p>
        </w:tc>
        <w:tc>
          <w:tcPr>
            <w:tcW w:w="1882" w:type="dxa"/>
            <w:tcBorders>
              <w:top w:val="nil"/>
              <w:left w:val="single" w:color="000000" w:sz="4" w:space="0"/>
              <w:right w:val="single" w:color="000000" w:sz="4" w:space="0"/>
            </w:tcBorders>
          </w:tcPr>
          <w:p>
            <w:pPr>
              <w:pStyle w:val="12"/>
              <w:rPr>
                <w:rFonts w:ascii="Times New Roman"/>
                <w:sz w:val="20"/>
              </w:rPr>
            </w:pPr>
          </w:p>
        </w:tc>
        <w:tc>
          <w:tcPr>
            <w:tcW w:w="16110" w:type="dxa"/>
            <w:tcBorders>
              <w:top w:val="nil"/>
              <w:left w:val="single" w:color="000000" w:sz="4" w:space="0"/>
            </w:tcBorders>
          </w:tcPr>
          <w:p>
            <w:pPr>
              <w:pStyle w:val="12"/>
              <w:spacing w:line="261" w:lineRule="exact"/>
              <w:ind w:left="102"/>
              <w:rPr>
                <w:sz w:val="21"/>
              </w:rPr>
            </w:pPr>
            <w:r>
              <w:rPr>
                <w:sz w:val="21"/>
              </w:rPr>
              <w:t>的必要公共设施建设；必须且无法避让、符合县级以上国土空间规划的线性基础设施建设、防洪和供水设施建设与运行维护；重要生态修复工程。</w:t>
            </w:r>
          </w:p>
        </w:tc>
        <w:tc>
          <w:tcPr>
            <w:tcW w:w="2693" w:type="dxa"/>
            <w:tcBorders>
              <w:top w:val="nil"/>
            </w:tcBorders>
          </w:tcPr>
          <w:p>
            <w:pPr>
              <w:pStyle w:val="12"/>
              <w:rPr>
                <w:rFonts w:ascii="Times New Roman"/>
                <w:sz w:val="20"/>
              </w:rPr>
            </w:pPr>
          </w:p>
        </w:tc>
      </w:tr>
    </w:tbl>
    <w:p>
      <w:pPr>
        <w:rPr>
          <w:rFonts w:ascii="Times New Roman"/>
          <w:sz w:val="20"/>
        </w:rPr>
        <w:sectPr>
          <w:type w:val="continuous"/>
          <w:pgSz w:w="23760" w:h="16790" w:orient="landscape"/>
          <w:pgMar w:top="1600" w:right="660" w:bottom="1160" w:left="860" w:header="720" w:footer="720"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1882"/>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14" w:type="dxa"/>
            <w:tcBorders>
              <w:bottom w:val="single" w:color="000000" w:sz="4" w:space="0"/>
              <w:right w:val="single" w:color="000000" w:sz="4" w:space="0"/>
            </w:tcBorders>
          </w:tcPr>
          <w:p>
            <w:pPr>
              <w:pStyle w:val="12"/>
              <w:spacing w:before="89"/>
              <w:ind w:left="345"/>
              <w:rPr>
                <w:b/>
                <w:sz w:val="21"/>
              </w:rPr>
            </w:pPr>
            <w:r>
              <w:rPr>
                <w:b/>
                <w:sz w:val="21"/>
              </w:rPr>
              <w:t>属性</w:t>
            </w:r>
          </w:p>
        </w:tc>
        <w:tc>
          <w:tcPr>
            <w:tcW w:w="1882" w:type="dxa"/>
            <w:tcBorders>
              <w:left w:val="single" w:color="000000" w:sz="4" w:space="0"/>
              <w:bottom w:val="single" w:color="000000" w:sz="4" w:space="0"/>
              <w:right w:val="single" w:color="000000" w:sz="4" w:space="0"/>
            </w:tcBorders>
          </w:tcPr>
          <w:p>
            <w:pPr>
              <w:pStyle w:val="12"/>
              <w:spacing w:before="82"/>
              <w:ind w:left="705" w:right="705"/>
              <w:jc w:val="center"/>
              <w:rPr>
                <w:b/>
                <w:sz w:val="21"/>
              </w:rPr>
            </w:pPr>
            <w:r>
              <w:rPr>
                <w:b/>
                <w:sz w:val="21"/>
              </w:rPr>
              <w:t>管控</w:t>
            </w:r>
          </w:p>
        </w:tc>
        <w:tc>
          <w:tcPr>
            <w:tcW w:w="16110" w:type="dxa"/>
            <w:tcBorders>
              <w:top w:val="single" w:color="000000" w:sz="4" w:space="0"/>
              <w:left w:val="single" w:color="000000" w:sz="4" w:space="0"/>
              <w:bottom w:val="single" w:color="000000" w:sz="4" w:space="0"/>
            </w:tcBorders>
          </w:tcPr>
          <w:p>
            <w:pPr>
              <w:pStyle w:val="12"/>
              <w:spacing w:before="82"/>
              <w:ind w:left="7609" w:right="7610"/>
              <w:jc w:val="center"/>
              <w:rPr>
                <w:b/>
                <w:sz w:val="21"/>
              </w:rPr>
            </w:pPr>
            <w:r>
              <w:rPr>
                <w:b/>
                <w:sz w:val="21"/>
              </w:rPr>
              <w:t>管控要求</w:t>
            </w:r>
          </w:p>
        </w:tc>
        <w:tc>
          <w:tcPr>
            <w:tcW w:w="2693" w:type="dxa"/>
            <w:tcBorders>
              <w:top w:val="single" w:color="000000" w:sz="4" w:space="0"/>
              <w:bottom w:val="single" w:color="000000" w:sz="4" w:space="0"/>
            </w:tcBorders>
          </w:tcPr>
          <w:p>
            <w:pPr>
              <w:pStyle w:val="12"/>
              <w:spacing w:before="32"/>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1" w:hRule="atLeast"/>
        </w:trPr>
        <w:tc>
          <w:tcPr>
            <w:tcW w:w="1114" w:type="dxa"/>
            <w:vMerge w:val="restart"/>
            <w:tcBorders>
              <w:top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2"/>
              <w:rPr>
                <w:b/>
                <w:sz w:val="28"/>
              </w:rPr>
            </w:pPr>
          </w:p>
          <w:p>
            <w:pPr>
              <w:pStyle w:val="12"/>
              <w:spacing w:line="266" w:lineRule="auto"/>
              <w:ind w:left="107" w:right="97"/>
              <w:rPr>
                <w:sz w:val="21"/>
              </w:rPr>
            </w:pPr>
            <w:r>
              <w:rPr>
                <w:sz w:val="21"/>
              </w:rPr>
              <w:t>生态保护红线</w:t>
            </w:r>
          </w:p>
        </w:tc>
        <w:tc>
          <w:tcPr>
            <w:tcW w:w="1882" w:type="dxa"/>
            <w:tcBorders>
              <w:top w:val="single" w:color="000000" w:sz="4" w:space="0"/>
              <w:left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3" w:line="247" w:lineRule="auto"/>
              <w:ind w:left="105" w:right="291"/>
              <w:rPr>
                <w:sz w:val="21"/>
              </w:rPr>
            </w:pPr>
            <w:r>
              <w:rPr>
                <w:sz w:val="21"/>
              </w:rPr>
              <w:t>允许开发建设活动的特殊要求</w:t>
            </w:r>
          </w:p>
        </w:tc>
        <w:tc>
          <w:tcPr>
            <w:tcW w:w="16110" w:type="dxa"/>
            <w:tcBorders>
              <w:top w:val="single" w:color="000000" w:sz="4" w:space="0"/>
              <w:left w:val="single" w:color="000000" w:sz="4" w:space="0"/>
            </w:tcBorders>
          </w:tcPr>
          <w:p>
            <w:pPr>
              <w:pStyle w:val="12"/>
              <w:rPr>
                <w:b/>
                <w:sz w:val="20"/>
              </w:rPr>
            </w:pPr>
          </w:p>
          <w:p>
            <w:pPr>
              <w:pStyle w:val="12"/>
              <w:spacing w:before="8"/>
              <w:rPr>
                <w:b/>
                <w:sz w:val="16"/>
              </w:rPr>
            </w:pPr>
          </w:p>
          <w:p>
            <w:pPr>
              <w:pStyle w:val="12"/>
              <w:ind w:left="102"/>
              <w:rPr>
                <w:sz w:val="21"/>
              </w:rPr>
            </w:pPr>
            <w:r>
              <w:rPr>
                <w:b/>
                <w:sz w:val="21"/>
              </w:rPr>
              <w:t xml:space="preserve">第十八条【允许类活动】 </w:t>
            </w:r>
            <w:r>
              <w:rPr>
                <w:sz w:val="21"/>
              </w:rPr>
              <w:t>在不违背法律法规和规章的前提下，生态保护红线内允许开展以下人类活动：</w:t>
            </w:r>
          </w:p>
          <w:p>
            <w:pPr>
              <w:pStyle w:val="12"/>
              <w:spacing w:before="4"/>
              <w:ind w:left="102"/>
              <w:rPr>
                <w:sz w:val="21"/>
              </w:rPr>
            </w:pPr>
            <w:r>
              <w:rPr>
                <w:sz w:val="21"/>
              </w:rPr>
              <w:t>（一）生态保护修复和环境治理活动；</w:t>
            </w:r>
          </w:p>
          <w:p>
            <w:pPr>
              <w:pStyle w:val="12"/>
              <w:spacing w:before="3"/>
              <w:ind w:left="102"/>
              <w:rPr>
                <w:sz w:val="21"/>
              </w:rPr>
            </w:pPr>
            <w:r>
              <w:rPr>
                <w:sz w:val="21"/>
              </w:rPr>
              <w:t>（二）原住民正常生产生活设施建设、修缮和改造；</w:t>
            </w:r>
          </w:p>
          <w:p>
            <w:pPr>
              <w:pStyle w:val="12"/>
              <w:spacing w:before="4"/>
              <w:ind w:left="102"/>
              <w:rPr>
                <w:sz w:val="21"/>
              </w:rPr>
            </w:pPr>
            <w:r>
              <w:rPr>
                <w:sz w:val="21"/>
              </w:rPr>
              <w:t>（三）符合法律法规规定的林业活动；</w:t>
            </w:r>
          </w:p>
          <w:p>
            <w:pPr>
              <w:pStyle w:val="12"/>
              <w:spacing w:before="2"/>
              <w:ind w:left="102"/>
              <w:rPr>
                <w:sz w:val="21"/>
              </w:rPr>
            </w:pPr>
            <w:r>
              <w:rPr>
                <w:sz w:val="21"/>
              </w:rPr>
              <w:t>（四）国防、军事等特殊用途设施建设、修缮和改造；</w:t>
            </w:r>
          </w:p>
          <w:p>
            <w:pPr>
              <w:pStyle w:val="12"/>
              <w:spacing w:before="5"/>
              <w:ind w:left="102"/>
              <w:rPr>
                <w:sz w:val="21"/>
              </w:rPr>
            </w:pPr>
            <w:r>
              <w:rPr>
                <w:sz w:val="21"/>
              </w:rPr>
              <w:t>（五）生态环境保护监测、公益性的自然资源监测或勘探、以及地质勘查活动；经依法批准的考古调查发掘和文物保护活动；</w:t>
            </w:r>
          </w:p>
          <w:p>
            <w:pPr>
              <w:pStyle w:val="12"/>
              <w:spacing w:before="2" w:line="244" w:lineRule="auto"/>
              <w:ind w:left="102" w:right="7169"/>
              <w:rPr>
                <w:b/>
                <w:sz w:val="21"/>
              </w:rPr>
            </w:pPr>
            <w:r>
              <w:rPr>
                <w:sz w:val="21"/>
              </w:rPr>
              <w:t>（六）必要的河道、堤防、岸线整治等活动，以及防洪设施和供水设施建设、修缮和改造活动。</w:t>
            </w:r>
            <w:r>
              <w:rPr>
                <w:b/>
                <w:sz w:val="21"/>
              </w:rPr>
              <w:t>第二十条【已有活动管理】</w:t>
            </w:r>
          </w:p>
          <w:p>
            <w:pPr>
              <w:pStyle w:val="12"/>
              <w:spacing w:line="265" w:lineRule="exact"/>
              <w:ind w:left="102"/>
              <w:rPr>
                <w:sz w:val="21"/>
              </w:rPr>
            </w:pPr>
            <w:r>
              <w:rPr>
                <w:sz w:val="21"/>
              </w:rPr>
              <w:t>（四）法律法规另有规定的，从其规定。</w:t>
            </w:r>
          </w:p>
          <w:p>
            <w:pPr>
              <w:pStyle w:val="12"/>
              <w:spacing w:before="4" w:line="242" w:lineRule="auto"/>
              <w:ind w:left="102" w:right="97"/>
              <w:rPr>
                <w:sz w:val="21"/>
              </w:rPr>
            </w:pPr>
            <w:r>
              <w:rPr>
                <w:spacing w:val="-9"/>
                <w:sz w:val="21"/>
              </w:rPr>
              <w:t>列入省级以上规划且涉及公益、民生和生态保护的线性基础设施、防洪水利工程，以及已经获得批准的风电、光伏建设项目，在不影响主导生态功能的前提下，可严格按照主</w:t>
            </w:r>
            <w:r>
              <w:rPr>
                <w:spacing w:val="-5"/>
                <w:sz w:val="21"/>
              </w:rPr>
              <w:t>管部门批复的项目选址和规模等进行建设，并在建设工程结束后对造成影响的区域进行生态修复。</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8"/>
              <w:ind w:left="105"/>
              <w:rPr>
                <w:sz w:val="21"/>
              </w:rPr>
            </w:pPr>
            <w:r>
              <w:rPr>
                <w:sz w:val="21"/>
              </w:rPr>
              <w:t>《生态保护红线管理办法</w:t>
            </w:r>
          </w:p>
          <w:p>
            <w:pPr>
              <w:pStyle w:val="12"/>
              <w:spacing w:before="31"/>
              <w:ind w:left="105"/>
              <w:rPr>
                <w:sz w:val="21"/>
              </w:rPr>
            </w:pPr>
            <w:r>
              <w:rPr>
                <w:sz w:val="21"/>
              </w:rPr>
              <w:t>（</w:t>
            </w:r>
            <w:r>
              <w:rPr>
                <w:spacing w:val="-2"/>
                <w:sz w:val="21"/>
              </w:rPr>
              <w:t>暂行</w:t>
            </w:r>
            <w:r>
              <w:rPr>
                <w:spacing w:val="-10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1114" w:type="dxa"/>
            <w:vMerge w:val="continue"/>
            <w:tcBorders>
              <w:top w:val="nil"/>
              <w:right w:val="single" w:color="000000" w:sz="4" w:space="0"/>
            </w:tcBorders>
          </w:tcPr>
          <w:p>
            <w:pPr>
              <w:rPr>
                <w:sz w:val="2"/>
                <w:szCs w:val="2"/>
              </w:rPr>
            </w:pPr>
          </w:p>
        </w:tc>
        <w:tc>
          <w:tcPr>
            <w:tcW w:w="1882" w:type="dxa"/>
            <w:tcBorders>
              <w:left w:val="single" w:color="000000" w:sz="4" w:space="0"/>
              <w:right w:val="single" w:color="000000" w:sz="4" w:space="0"/>
            </w:tcBorders>
          </w:tcPr>
          <w:p>
            <w:pPr>
              <w:pStyle w:val="12"/>
              <w:spacing w:before="5"/>
              <w:rPr>
                <w:b/>
                <w:sz w:val="24"/>
              </w:rPr>
            </w:pPr>
          </w:p>
          <w:p>
            <w:pPr>
              <w:pStyle w:val="12"/>
              <w:spacing w:line="249" w:lineRule="auto"/>
              <w:ind w:left="105" w:right="291"/>
              <w:jc w:val="both"/>
              <w:rPr>
                <w:sz w:val="21"/>
              </w:rPr>
            </w:pPr>
            <w:r>
              <w:rPr>
                <w:sz w:val="21"/>
              </w:rPr>
              <w:t>不符合空间布局要求活动的退出要求</w:t>
            </w:r>
          </w:p>
        </w:tc>
        <w:tc>
          <w:tcPr>
            <w:tcW w:w="16110" w:type="dxa"/>
            <w:tcBorders>
              <w:left w:val="single" w:color="000000" w:sz="4" w:space="0"/>
            </w:tcBorders>
          </w:tcPr>
          <w:p>
            <w:pPr>
              <w:pStyle w:val="12"/>
              <w:spacing w:before="176"/>
              <w:ind w:left="102"/>
              <w:rPr>
                <w:b/>
                <w:sz w:val="21"/>
              </w:rPr>
            </w:pPr>
            <w:r>
              <w:rPr>
                <w:b/>
                <w:sz w:val="21"/>
              </w:rPr>
              <w:t>第二十条【已有活动管理】</w:t>
            </w:r>
          </w:p>
          <w:p>
            <w:pPr>
              <w:pStyle w:val="12"/>
              <w:spacing w:before="4"/>
              <w:ind w:left="102"/>
              <w:rPr>
                <w:sz w:val="21"/>
              </w:rPr>
            </w:pPr>
            <w:r>
              <w:rPr>
                <w:sz w:val="21"/>
              </w:rPr>
              <w:t>对于生态保护红线内的采矿活动，应停止开采活动，有序退出并开展矿区生态修复。对依法取得探矿权的，在不影响主导生态功能的前提下，可依法依规开展勘查活动。</w:t>
            </w:r>
          </w:p>
          <w:p>
            <w:pPr>
              <w:pStyle w:val="12"/>
              <w:spacing w:before="3" w:line="244" w:lineRule="auto"/>
              <w:ind w:left="102" w:right="97"/>
              <w:rPr>
                <w:sz w:val="21"/>
              </w:rPr>
            </w:pPr>
            <w:r>
              <w:rPr>
                <w:spacing w:val="-10"/>
                <w:sz w:val="21"/>
              </w:rPr>
              <w:t>生态保护红线内的耕地，可正常耕作，但不得擅自扩大规模；鼓励发展生态农业、绿色农业、有机农业。对位于江河源头及其两侧、水源地和湖库周边的陡坡耕地以及水土流</w:t>
            </w:r>
            <w:r>
              <w:rPr>
                <w:spacing w:val="-5"/>
                <w:sz w:val="21"/>
              </w:rPr>
              <w:t>失、风沙、盐碱化和石漠化危害严重等生态地位重要区域的耕地，应逐步退耕还林还草。</w:t>
            </w:r>
          </w:p>
        </w:tc>
        <w:tc>
          <w:tcPr>
            <w:tcW w:w="2693" w:type="dxa"/>
            <w:tcBorders>
              <w:top w:val="single" w:color="000000" w:sz="4" w:space="0"/>
            </w:tcBorders>
          </w:tcPr>
          <w:p>
            <w:pPr>
              <w:pStyle w:val="12"/>
              <w:rPr>
                <w:b/>
                <w:sz w:val="20"/>
              </w:rPr>
            </w:pPr>
          </w:p>
          <w:p>
            <w:pPr>
              <w:pStyle w:val="12"/>
              <w:spacing w:before="1"/>
              <w:rPr>
                <w:b/>
                <w:sz w:val="15"/>
              </w:rPr>
            </w:pPr>
          </w:p>
          <w:p>
            <w:pPr>
              <w:pStyle w:val="12"/>
              <w:ind w:left="41" w:right="41"/>
              <w:jc w:val="center"/>
              <w:rPr>
                <w:sz w:val="21"/>
              </w:rPr>
            </w:pPr>
            <w:r>
              <w:rPr>
                <w:sz w:val="21"/>
              </w:rPr>
              <w:t>《生态保护红线管理办法</w:t>
            </w:r>
          </w:p>
          <w:p>
            <w:pPr>
              <w:pStyle w:val="12"/>
              <w:spacing w:before="31"/>
              <w:ind w:left="43" w:right="41"/>
              <w:jc w:val="center"/>
              <w:rPr>
                <w:sz w:val="21"/>
              </w:rPr>
            </w:pPr>
            <w:r>
              <w:rPr>
                <w:sz w:val="21"/>
              </w:rPr>
              <w:t>（暂行）》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114" w:type="dxa"/>
            <w:vMerge w:val="continue"/>
            <w:tcBorders>
              <w:top w:val="nil"/>
              <w:right w:val="single" w:color="000000" w:sz="4" w:space="0"/>
            </w:tcBorders>
          </w:tcPr>
          <w:p>
            <w:pPr>
              <w:rPr>
                <w:sz w:val="2"/>
                <w:szCs w:val="2"/>
              </w:rPr>
            </w:pPr>
          </w:p>
        </w:tc>
        <w:tc>
          <w:tcPr>
            <w:tcW w:w="17992" w:type="dxa"/>
            <w:gridSpan w:val="2"/>
            <w:tcBorders>
              <w:left w:val="single" w:color="000000" w:sz="4" w:space="0"/>
            </w:tcBorders>
          </w:tcPr>
          <w:p>
            <w:pPr>
              <w:pStyle w:val="12"/>
              <w:spacing w:before="126"/>
              <w:ind w:left="105"/>
              <w:rPr>
                <w:sz w:val="21"/>
              </w:rPr>
            </w:pPr>
            <w:r>
              <w:rPr>
                <w:sz w:val="21"/>
              </w:rPr>
              <w:t>对生态红线内按照法定程序变更的内容，实时更新后按图斑特性依照相应法律法规进行管控</w:t>
            </w:r>
          </w:p>
        </w:tc>
        <w:tc>
          <w:tcPr>
            <w:tcW w:w="2693"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111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15"/>
              </w:rPr>
            </w:pPr>
          </w:p>
          <w:p>
            <w:pPr>
              <w:pStyle w:val="12"/>
              <w:spacing w:before="1" w:line="213" w:lineRule="auto"/>
              <w:ind w:left="345" w:right="127" w:hanging="209"/>
              <w:rPr>
                <w:sz w:val="21"/>
              </w:rPr>
            </w:pPr>
            <w:r>
              <w:rPr>
                <w:sz w:val="21"/>
              </w:rPr>
              <w:t>一般生态空间</w:t>
            </w:r>
          </w:p>
        </w:tc>
        <w:tc>
          <w:tcPr>
            <w:tcW w:w="1882"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36" w:line="213" w:lineRule="auto"/>
              <w:ind w:left="107" w:right="293"/>
              <w:rPr>
                <w:sz w:val="21"/>
              </w:rPr>
            </w:pPr>
            <w:r>
              <w:rPr>
                <w:sz w:val="21"/>
              </w:rPr>
              <w:t>限制开发建设活动的要求</w:t>
            </w:r>
          </w:p>
        </w:tc>
        <w:tc>
          <w:tcPr>
            <w:tcW w:w="16110" w:type="dxa"/>
            <w:tcBorders>
              <w:bottom w:val="single" w:color="000000" w:sz="4" w:space="0"/>
            </w:tcBorders>
          </w:tcPr>
          <w:p>
            <w:pPr>
              <w:pStyle w:val="12"/>
              <w:spacing w:before="1" w:line="242" w:lineRule="auto"/>
              <w:ind w:left="105" w:right="184"/>
              <w:jc w:val="both"/>
              <w:rPr>
                <w:sz w:val="21"/>
              </w:rPr>
            </w:pPr>
            <w:r>
              <w:rPr>
                <w:b/>
                <w:spacing w:val="-1"/>
                <w:sz w:val="21"/>
              </w:rPr>
              <w:t xml:space="preserve">第十二条 </w:t>
            </w:r>
            <w:r>
              <w:rPr>
                <w:spacing w:val="-3"/>
                <w:sz w:val="21"/>
              </w:rPr>
              <w:t>生态保护红线外的生态空间，原则上按限制开发区域的要求进行管理。按照生态空间用途分区，依法制定区域准入条件，明确允许、限制、禁止的产业和项目类型清单，根据空间规划确定的开发强度，提出城乡建设、工农业生产、矿产开发、旅游康体等活动的规模、强度、布局和环境保护等方面的要求，由同级人民政府予以公示。</w:t>
            </w:r>
            <w:r>
              <w:rPr>
                <w:b/>
                <w:spacing w:val="-3"/>
                <w:sz w:val="21"/>
              </w:rPr>
              <w:t xml:space="preserve">第十三条 </w:t>
            </w:r>
            <w:r>
              <w:rPr>
                <w:spacing w:val="-3"/>
                <w:sz w:val="21"/>
              </w:rPr>
              <w:t>生态空间与城镇空间、农业空间的相互转化利用，应按照资源环境承载能力和国土空间开发适宜性评价，根据功能变化状况，依法由有批准权的人民政府进行修改调整。</w:t>
            </w:r>
          </w:p>
          <w:p>
            <w:pPr>
              <w:pStyle w:val="12"/>
              <w:spacing w:before="3" w:line="242" w:lineRule="auto"/>
              <w:ind w:left="105" w:right="98"/>
              <w:rPr>
                <w:sz w:val="21"/>
              </w:rPr>
            </w:pPr>
            <w:r>
              <w:rPr>
                <w:b/>
                <w:sz w:val="21"/>
              </w:rPr>
              <w:t>第十四条</w:t>
            </w:r>
            <w:r>
              <w:rPr>
                <w:spacing w:val="-8"/>
                <w:sz w:val="21"/>
              </w:rPr>
              <w:t>严格控制新增建设占用生态保护红线外的生态空间。符合区域准入条件的建设项目，涉及占用生态空间中的林地、草原等，按有关法律法规规定办理；涉及占用生态</w:t>
            </w:r>
            <w:r>
              <w:rPr>
                <w:spacing w:val="-5"/>
                <w:sz w:val="21"/>
              </w:rPr>
              <w:t>空间中其他未作明确规定的用地，应当加强论证和管理。</w:t>
            </w:r>
          </w:p>
          <w:p>
            <w:pPr>
              <w:pStyle w:val="12"/>
              <w:spacing w:before="1" w:line="242" w:lineRule="auto"/>
              <w:ind w:left="105" w:right="184"/>
              <w:rPr>
                <w:sz w:val="21"/>
              </w:rPr>
            </w:pPr>
            <w:r>
              <w:rPr>
                <w:b/>
                <w:spacing w:val="-1"/>
                <w:sz w:val="21"/>
              </w:rPr>
              <w:t xml:space="preserve">第十五条 </w:t>
            </w:r>
            <w:r>
              <w:rPr>
                <w:spacing w:val="-3"/>
                <w:sz w:val="21"/>
              </w:rPr>
              <w:t>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p>
            <w:pPr>
              <w:pStyle w:val="12"/>
              <w:spacing w:before="1"/>
              <w:ind w:left="105"/>
              <w:rPr>
                <w:sz w:val="21"/>
              </w:rPr>
            </w:pPr>
            <w:r>
              <w:rPr>
                <w:b/>
                <w:sz w:val="21"/>
              </w:rPr>
              <w:t xml:space="preserve">第十七条 </w:t>
            </w:r>
            <w:r>
              <w:rPr>
                <w:sz w:val="21"/>
              </w:rPr>
              <w:t>在不改变利用方式的前提下，依据资源环境承载能力，对依法保护的生态空间实行承载力控制，防止过度垦殖、放牧、采伐、取水、渔猎、旅游等对生态功能造成</w:t>
            </w:r>
          </w:p>
          <w:p>
            <w:pPr>
              <w:pStyle w:val="12"/>
              <w:spacing w:before="3" w:line="252" w:lineRule="exact"/>
              <w:ind w:left="105"/>
              <w:rPr>
                <w:sz w:val="21"/>
              </w:rPr>
            </w:pPr>
            <w:r>
              <w:rPr>
                <w:sz w:val="21"/>
              </w:rPr>
              <w:t>损害，确保自然生态系统的稳定。</w:t>
            </w:r>
          </w:p>
        </w:tc>
        <w:tc>
          <w:tcPr>
            <w:tcW w:w="2693" w:type="dxa"/>
            <w:tcBorders>
              <w:bottom w:val="single" w:color="000000" w:sz="4" w:space="0"/>
            </w:tcBorders>
          </w:tcPr>
          <w:p>
            <w:pPr>
              <w:pStyle w:val="12"/>
              <w:spacing w:before="30" w:line="266" w:lineRule="auto"/>
              <w:ind w:left="105" w:right="266"/>
              <w:rPr>
                <w:sz w:val="21"/>
              </w:rPr>
            </w:pPr>
            <w:r>
              <w:rPr>
                <w:spacing w:val="-5"/>
                <w:sz w:val="21"/>
              </w:rPr>
              <w:t>《自然生态空间用途管制</w:t>
            </w:r>
            <w:r>
              <w:rPr>
                <w:sz w:val="21"/>
              </w:rPr>
              <w:t>办法</w:t>
            </w:r>
            <w:r>
              <w:rPr>
                <w:spacing w:val="-3"/>
                <w:sz w:val="21"/>
              </w:rPr>
              <w:t>（</w:t>
            </w:r>
            <w:r>
              <w:rPr>
                <w:spacing w:val="-2"/>
                <w:sz w:val="21"/>
              </w:rPr>
              <w:t>试行</w:t>
            </w:r>
            <w:r>
              <w:rPr>
                <w:spacing w:val="-106"/>
                <w:sz w:val="21"/>
              </w:rPr>
              <w:t>）》</w:t>
            </w:r>
            <w:r>
              <w:rPr>
                <w:spacing w:val="-3"/>
                <w:sz w:val="21"/>
              </w:rPr>
              <w:t>（</w:t>
            </w:r>
            <w:r>
              <w:rPr>
                <w:spacing w:val="-5"/>
                <w:sz w:val="21"/>
              </w:rPr>
              <w:t>国土资发</w:t>
            </w:r>
          </w:p>
          <w:p>
            <w:pPr>
              <w:pStyle w:val="12"/>
              <w:spacing w:before="3"/>
              <w:ind w:left="105"/>
              <w:rPr>
                <w:sz w:val="21"/>
              </w:rPr>
            </w:pPr>
            <w:r>
              <w:rPr>
                <w:sz w:val="21"/>
              </w:rPr>
              <w:t>〔</w:t>
            </w:r>
            <w:r>
              <w:rPr>
                <w:rFonts w:ascii="Calibri" w:eastAsia="Calibri"/>
                <w:sz w:val="21"/>
              </w:rPr>
              <w:t>2017</w:t>
            </w:r>
            <w:r>
              <w:rPr>
                <w:sz w:val="21"/>
              </w:rPr>
              <w:t>〕</w:t>
            </w:r>
            <w:r>
              <w:rPr>
                <w:rFonts w:ascii="Calibri" w:eastAsia="Calibri"/>
                <w:sz w:val="21"/>
              </w:rPr>
              <w:t xml:space="preserve">33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1114" w:type="dxa"/>
            <w:vMerge w:val="continue"/>
            <w:tcBorders>
              <w:top w:val="nil"/>
            </w:tcBorders>
          </w:tcPr>
          <w:p>
            <w:pPr>
              <w:rPr>
                <w:sz w:val="2"/>
                <w:szCs w:val="2"/>
              </w:rPr>
            </w:pPr>
          </w:p>
        </w:tc>
        <w:tc>
          <w:tcPr>
            <w:tcW w:w="1882" w:type="dxa"/>
            <w:vMerge w:val="continue"/>
            <w:tcBorders>
              <w:top w:val="nil"/>
            </w:tcBorders>
          </w:tcPr>
          <w:p>
            <w:pPr>
              <w:rPr>
                <w:sz w:val="2"/>
                <w:szCs w:val="2"/>
              </w:rPr>
            </w:pPr>
          </w:p>
        </w:tc>
        <w:tc>
          <w:tcPr>
            <w:tcW w:w="16110" w:type="dxa"/>
            <w:tcBorders>
              <w:top w:val="single" w:color="000000" w:sz="4" w:space="0"/>
            </w:tcBorders>
          </w:tcPr>
          <w:p>
            <w:pPr>
              <w:pStyle w:val="12"/>
              <w:rPr>
                <w:b/>
                <w:sz w:val="20"/>
              </w:rPr>
            </w:pPr>
          </w:p>
          <w:p>
            <w:pPr>
              <w:pStyle w:val="12"/>
              <w:rPr>
                <w:b/>
                <w:sz w:val="24"/>
              </w:rPr>
            </w:pPr>
          </w:p>
          <w:p>
            <w:pPr>
              <w:pStyle w:val="12"/>
              <w:spacing w:line="213" w:lineRule="auto"/>
              <w:ind w:left="105" w:right="97"/>
              <w:rPr>
                <w:sz w:val="21"/>
              </w:rPr>
            </w:pPr>
            <w:r>
              <w:rPr>
                <w:spacing w:val="-8"/>
                <w:sz w:val="21"/>
              </w:rPr>
              <w:t>绿色石材矿山建设中新设矿业权不得进入禁止勘查开采区，原则上不得进入限制勘查开采区。已设置矿业权位于禁止开采区内的，要限期退出，采矿许可证到期不予延续。已</w:t>
            </w:r>
            <w:r>
              <w:rPr>
                <w:spacing w:val="-5"/>
                <w:sz w:val="21"/>
              </w:rPr>
              <w:t>设矿业权位于限制勘查开采区内的，依据现有法律法规，制定具体处置方案和工作措施，引导其有序退出。不符合现行矿业权准入条件的，不再批准矿业权延续。</w:t>
            </w:r>
          </w:p>
        </w:tc>
        <w:tc>
          <w:tcPr>
            <w:tcW w:w="2693" w:type="dxa"/>
            <w:tcBorders>
              <w:top w:val="single" w:color="000000" w:sz="4" w:space="0"/>
            </w:tcBorders>
          </w:tcPr>
          <w:p>
            <w:pPr>
              <w:pStyle w:val="12"/>
              <w:spacing w:before="6"/>
              <w:rPr>
                <w:b/>
                <w:sz w:val="29"/>
              </w:rPr>
            </w:pPr>
          </w:p>
          <w:p>
            <w:pPr>
              <w:pStyle w:val="12"/>
              <w:spacing w:line="268" w:lineRule="auto"/>
              <w:ind w:left="105" w:right="101"/>
              <w:jc w:val="both"/>
              <w:rPr>
                <w:sz w:val="21"/>
              </w:rPr>
            </w:pPr>
            <w:r>
              <w:rPr>
                <w:spacing w:val="11"/>
                <w:sz w:val="21"/>
              </w:rPr>
              <w:t>《非金属行业绿色矿山建</w:t>
            </w:r>
            <w:r>
              <w:rPr>
                <w:spacing w:val="-17"/>
                <w:sz w:val="21"/>
              </w:rPr>
              <w:t xml:space="preserve">设规范》等 </w:t>
            </w:r>
            <w:r>
              <w:rPr>
                <w:rFonts w:ascii="Calibri" w:eastAsia="Calibri"/>
                <w:sz w:val="21"/>
              </w:rPr>
              <w:t xml:space="preserve">9 </w:t>
            </w:r>
            <w:r>
              <w:rPr>
                <w:spacing w:val="-5"/>
                <w:sz w:val="21"/>
              </w:rPr>
              <w:t>项推荐性行业</w:t>
            </w:r>
            <w:r>
              <w:rPr>
                <w:sz w:val="21"/>
              </w:rPr>
              <w:t>标准</w:t>
            </w:r>
            <w:r>
              <w:rPr>
                <w:spacing w:val="-3"/>
                <w:sz w:val="21"/>
              </w:rPr>
              <w:t>（自然资源部</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1114" w:type="dxa"/>
            <w:vMerge w:val="continue"/>
            <w:tcBorders>
              <w:top w:val="nil"/>
            </w:tcBorders>
          </w:tcPr>
          <w:p>
            <w:pPr>
              <w:rPr>
                <w:sz w:val="2"/>
                <w:szCs w:val="2"/>
              </w:rPr>
            </w:pPr>
          </w:p>
        </w:tc>
        <w:tc>
          <w:tcPr>
            <w:tcW w:w="1882"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spacing w:before="10"/>
              <w:rPr>
                <w:b/>
                <w:sz w:val="19"/>
              </w:rPr>
            </w:pPr>
          </w:p>
          <w:p>
            <w:pPr>
              <w:pStyle w:val="12"/>
              <w:spacing w:before="1" w:line="213" w:lineRule="auto"/>
              <w:ind w:left="107" w:right="293"/>
              <w:rPr>
                <w:sz w:val="21"/>
              </w:rPr>
            </w:pPr>
            <w:r>
              <w:rPr>
                <w:sz w:val="21"/>
              </w:rPr>
              <w:t>允许开发建设活动的要求</w:t>
            </w:r>
          </w:p>
        </w:tc>
        <w:tc>
          <w:tcPr>
            <w:tcW w:w="16110" w:type="dxa"/>
            <w:tcBorders>
              <w:bottom w:val="single" w:color="000000" w:sz="4" w:space="0"/>
            </w:tcBorders>
          </w:tcPr>
          <w:p>
            <w:pPr>
              <w:pStyle w:val="12"/>
              <w:rPr>
                <w:b/>
                <w:sz w:val="20"/>
              </w:rPr>
            </w:pPr>
          </w:p>
          <w:p>
            <w:pPr>
              <w:pStyle w:val="12"/>
              <w:spacing w:before="8"/>
              <w:rPr>
                <w:b/>
                <w:sz w:val="18"/>
              </w:rPr>
            </w:pPr>
          </w:p>
          <w:p>
            <w:pPr>
              <w:pStyle w:val="12"/>
              <w:ind w:left="105"/>
              <w:rPr>
                <w:sz w:val="21"/>
              </w:rPr>
            </w:pPr>
            <w:r>
              <w:rPr>
                <w:b/>
                <w:sz w:val="21"/>
              </w:rPr>
              <w:t>第十三条</w:t>
            </w:r>
            <w:r>
              <w:rPr>
                <w:sz w:val="21"/>
              </w:rPr>
              <w:t>鼓励城镇空间和符合国家生态退耕条件的农业空间转为生态空间。</w:t>
            </w:r>
          </w:p>
          <w:p>
            <w:pPr>
              <w:pStyle w:val="12"/>
              <w:spacing w:before="5"/>
              <w:ind w:left="105" w:right="-15"/>
              <w:rPr>
                <w:sz w:val="21"/>
              </w:rPr>
            </w:pPr>
            <w:r>
              <w:rPr>
                <w:b/>
                <w:sz w:val="21"/>
              </w:rPr>
              <w:t>第十四条</w:t>
            </w:r>
            <w:r>
              <w:rPr>
                <w:spacing w:val="-11"/>
                <w:sz w:val="21"/>
              </w:rPr>
              <w:t>鼓励各地根据生态保护需要和规划，结合土地综合整治、工矿废弃地复垦利用、矿山环境恢复治理等各类工程实施，因地制宜促进生态空间内建设用地逐步有序退出。</w:t>
            </w:r>
          </w:p>
        </w:tc>
        <w:tc>
          <w:tcPr>
            <w:tcW w:w="2693" w:type="dxa"/>
            <w:tcBorders>
              <w:bottom w:val="single" w:color="000000" w:sz="4" w:space="0"/>
            </w:tcBorders>
          </w:tcPr>
          <w:p>
            <w:pPr>
              <w:pStyle w:val="12"/>
              <w:spacing w:before="30" w:line="266" w:lineRule="auto"/>
              <w:ind w:left="105" w:right="266"/>
              <w:rPr>
                <w:sz w:val="21"/>
              </w:rPr>
            </w:pPr>
            <w:r>
              <w:rPr>
                <w:spacing w:val="-5"/>
                <w:sz w:val="21"/>
              </w:rPr>
              <w:t>《自然生态空间用途管制</w:t>
            </w:r>
            <w:r>
              <w:rPr>
                <w:sz w:val="21"/>
              </w:rPr>
              <w:t>办法</w:t>
            </w:r>
            <w:r>
              <w:rPr>
                <w:spacing w:val="-3"/>
                <w:sz w:val="21"/>
              </w:rPr>
              <w:t>（</w:t>
            </w:r>
            <w:r>
              <w:rPr>
                <w:spacing w:val="-2"/>
                <w:sz w:val="21"/>
              </w:rPr>
              <w:t>试行</w:t>
            </w:r>
            <w:r>
              <w:rPr>
                <w:spacing w:val="-106"/>
                <w:sz w:val="21"/>
              </w:rPr>
              <w:t>）》</w:t>
            </w:r>
            <w:r>
              <w:rPr>
                <w:spacing w:val="-3"/>
                <w:sz w:val="21"/>
              </w:rPr>
              <w:t>（</w:t>
            </w:r>
            <w:r>
              <w:rPr>
                <w:spacing w:val="-5"/>
                <w:sz w:val="21"/>
              </w:rPr>
              <w:t>国土资发</w:t>
            </w:r>
          </w:p>
          <w:p>
            <w:pPr>
              <w:pStyle w:val="12"/>
              <w:spacing w:before="2"/>
              <w:ind w:left="105"/>
              <w:rPr>
                <w:sz w:val="21"/>
              </w:rPr>
            </w:pPr>
            <w:r>
              <w:rPr>
                <w:sz w:val="21"/>
              </w:rPr>
              <w:t>〔</w:t>
            </w:r>
            <w:r>
              <w:rPr>
                <w:rFonts w:ascii="Calibri" w:eastAsia="Calibri"/>
                <w:sz w:val="21"/>
              </w:rPr>
              <w:t>2017</w:t>
            </w:r>
            <w:r>
              <w:rPr>
                <w:sz w:val="21"/>
              </w:rPr>
              <w:t>〕</w:t>
            </w:r>
            <w:r>
              <w:rPr>
                <w:rFonts w:ascii="Calibri" w:eastAsia="Calibri"/>
                <w:sz w:val="21"/>
              </w:rPr>
              <w:t xml:space="preserve">33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114" w:type="dxa"/>
            <w:vMerge w:val="continue"/>
            <w:tcBorders>
              <w:top w:val="nil"/>
            </w:tcBorders>
          </w:tcPr>
          <w:p>
            <w:pPr>
              <w:rPr>
                <w:sz w:val="2"/>
                <w:szCs w:val="2"/>
              </w:rPr>
            </w:pPr>
          </w:p>
        </w:tc>
        <w:tc>
          <w:tcPr>
            <w:tcW w:w="1882" w:type="dxa"/>
            <w:vMerge w:val="continue"/>
            <w:tcBorders>
              <w:top w:val="nil"/>
            </w:tcBorders>
          </w:tcPr>
          <w:p>
            <w:pPr>
              <w:rPr>
                <w:sz w:val="2"/>
                <w:szCs w:val="2"/>
              </w:rPr>
            </w:pPr>
          </w:p>
        </w:tc>
        <w:tc>
          <w:tcPr>
            <w:tcW w:w="16110" w:type="dxa"/>
            <w:tcBorders>
              <w:top w:val="single" w:color="000000" w:sz="4" w:space="0"/>
            </w:tcBorders>
          </w:tcPr>
          <w:p>
            <w:pPr>
              <w:pStyle w:val="12"/>
              <w:spacing w:before="10"/>
              <w:rPr>
                <w:b/>
                <w:sz w:val="20"/>
              </w:rPr>
            </w:pPr>
          </w:p>
          <w:p>
            <w:pPr>
              <w:pStyle w:val="12"/>
              <w:spacing w:line="213" w:lineRule="auto"/>
              <w:ind w:left="105" w:right="97"/>
              <w:jc w:val="both"/>
              <w:rPr>
                <w:sz w:val="21"/>
              </w:rPr>
            </w:pPr>
            <w:r>
              <w:rPr>
                <w:spacing w:val="-10"/>
                <w:sz w:val="21"/>
              </w:rPr>
              <w:t>与一般生态空间中相连接的矿权，不论在一般生态空间内与否，非金属矿、化工矿山、黄金矿山、煤炭、砂石、陆上石油天然气开采、水泥灰岩、冶金矿山、有色金属矿等九</w:t>
            </w:r>
            <w:r>
              <w:rPr>
                <w:spacing w:val="-9"/>
                <w:sz w:val="21"/>
              </w:rPr>
              <w:t xml:space="preserve">大行业分别按《非金属行业绿色矿山建设规范》等 </w:t>
            </w:r>
            <w:r>
              <w:rPr>
                <w:rFonts w:ascii="Calibri" w:eastAsia="Calibri"/>
                <w:sz w:val="21"/>
              </w:rPr>
              <w:t xml:space="preserve">9 </w:t>
            </w:r>
            <w:r>
              <w:rPr>
                <w:spacing w:val="-7"/>
                <w:sz w:val="21"/>
              </w:rPr>
              <w:t>项推荐性行业标准进行管控外，还须根据调查生态环境特征，适当优化其开采方式，设计时满足生态系统联通性要求；井</w:t>
            </w:r>
            <w:r>
              <w:rPr>
                <w:spacing w:val="-10"/>
                <w:sz w:val="21"/>
              </w:rPr>
              <w:t>工开采的应尽可能将井口、工业场地布设于非敏感区域；页岩气、天然气开采井口布设在非敏感区域，合理降低水土流失和避让可能造成的生境阻隔；页岩气开发须满足水资</w:t>
            </w:r>
            <w:r>
              <w:rPr>
                <w:spacing w:val="-5"/>
                <w:sz w:val="21"/>
              </w:rPr>
              <w:t>源承载力要求和受纳水体环境容量要求、并考虑引发的地址灾害</w:t>
            </w:r>
            <w:r>
              <w:rPr>
                <w:spacing w:val="-3"/>
                <w:sz w:val="21"/>
              </w:rPr>
              <w:t>（</w:t>
            </w:r>
            <w:r>
              <w:rPr>
                <w:spacing w:val="-2"/>
                <w:sz w:val="21"/>
              </w:rPr>
              <w:t>地震</w:t>
            </w:r>
            <w:r>
              <w:rPr>
                <w:sz w:val="21"/>
              </w:rPr>
              <w:t>）</w:t>
            </w:r>
            <w:r>
              <w:rPr>
                <w:spacing w:val="-2"/>
                <w:sz w:val="21"/>
              </w:rPr>
              <w:t>风险。</w:t>
            </w:r>
          </w:p>
        </w:tc>
        <w:tc>
          <w:tcPr>
            <w:tcW w:w="2693" w:type="dxa"/>
            <w:tcBorders>
              <w:top w:val="single" w:color="000000" w:sz="4" w:space="0"/>
            </w:tcBorders>
          </w:tcPr>
          <w:p>
            <w:pPr>
              <w:pStyle w:val="12"/>
              <w:spacing w:before="30" w:line="266" w:lineRule="auto"/>
              <w:ind w:left="105" w:right="211"/>
              <w:rPr>
                <w:sz w:val="21"/>
              </w:rPr>
            </w:pPr>
            <w:r>
              <w:rPr>
                <w:sz w:val="21"/>
              </w:rPr>
              <w:t>《关于印发贵州省石材产业振兴行动实施方案和</w:t>
            </w:r>
            <w:r>
              <w:rPr>
                <w:rFonts w:ascii="Calibri" w:eastAsia="Calibri"/>
                <w:sz w:val="21"/>
              </w:rPr>
              <w:t xml:space="preserve">2019 </w:t>
            </w:r>
            <w:r>
              <w:rPr>
                <w:sz w:val="21"/>
              </w:rPr>
              <w:t>年贵州省石材产业行动计划的通知》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114" w:type="dxa"/>
            <w:vMerge w:val="continue"/>
            <w:tcBorders>
              <w:top w:val="nil"/>
            </w:tcBorders>
          </w:tcPr>
          <w:p>
            <w:pPr>
              <w:rPr>
                <w:sz w:val="2"/>
                <w:szCs w:val="2"/>
              </w:rPr>
            </w:pPr>
          </w:p>
        </w:tc>
        <w:tc>
          <w:tcPr>
            <w:tcW w:w="17992" w:type="dxa"/>
            <w:gridSpan w:val="2"/>
          </w:tcPr>
          <w:p>
            <w:pPr>
              <w:pStyle w:val="12"/>
              <w:spacing w:before="10"/>
              <w:rPr>
                <w:b/>
                <w:sz w:val="15"/>
              </w:rPr>
            </w:pPr>
          </w:p>
          <w:p>
            <w:pPr>
              <w:pStyle w:val="12"/>
              <w:ind w:left="107"/>
              <w:rPr>
                <w:sz w:val="21"/>
              </w:rPr>
            </w:pPr>
            <w:r>
              <w:rPr>
                <w:sz w:val="21"/>
              </w:rPr>
              <w:t>对一般生态空间内按照法定程序变更的内容，实时更新后按图斑特性依照相应法律法规进行管控</w:t>
            </w:r>
          </w:p>
        </w:tc>
        <w:tc>
          <w:tcPr>
            <w:tcW w:w="2693" w:type="dxa"/>
          </w:tcPr>
          <w:p>
            <w:pPr>
              <w:pStyle w:val="12"/>
              <w:rPr>
                <w:rFonts w:ascii="Times New Roman"/>
                <w:sz w:val="20"/>
              </w:rPr>
            </w:pPr>
          </w:p>
        </w:tc>
      </w:tr>
    </w:tbl>
    <w:p>
      <w:pPr>
        <w:rPr>
          <w:rFonts w:ascii="Times New Roman"/>
          <w:sz w:val="20"/>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670"/>
        <w:gridCol w:w="1882"/>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14" w:type="dxa"/>
            <w:gridSpan w:val="2"/>
          </w:tcPr>
          <w:p>
            <w:pPr>
              <w:pStyle w:val="12"/>
              <w:spacing w:before="92"/>
              <w:ind w:left="345"/>
              <w:rPr>
                <w:b/>
                <w:sz w:val="21"/>
              </w:rPr>
            </w:pPr>
            <w:r>
              <w:rPr>
                <w:b/>
                <w:sz w:val="21"/>
              </w:rPr>
              <w:t>属性</w:t>
            </w:r>
          </w:p>
        </w:tc>
        <w:tc>
          <w:tcPr>
            <w:tcW w:w="1882" w:type="dxa"/>
            <w:tcBorders>
              <w:right w:val="single" w:color="000000" w:sz="4" w:space="0"/>
            </w:tcBorders>
          </w:tcPr>
          <w:p>
            <w:pPr>
              <w:pStyle w:val="12"/>
              <w:spacing w:before="85"/>
              <w:ind w:left="707" w:right="705"/>
              <w:jc w:val="center"/>
              <w:rPr>
                <w:b/>
                <w:sz w:val="21"/>
              </w:rPr>
            </w:pPr>
            <w:r>
              <w:rPr>
                <w:b/>
                <w:sz w:val="21"/>
              </w:rPr>
              <w:t>管控</w:t>
            </w:r>
          </w:p>
        </w:tc>
        <w:tc>
          <w:tcPr>
            <w:tcW w:w="16110" w:type="dxa"/>
            <w:tcBorders>
              <w:left w:val="single" w:color="000000" w:sz="4" w:space="0"/>
            </w:tcBorders>
          </w:tcPr>
          <w:p>
            <w:pPr>
              <w:pStyle w:val="12"/>
              <w:spacing w:before="82"/>
              <w:ind w:left="7609" w:right="7610"/>
              <w:jc w:val="center"/>
              <w:rPr>
                <w:b/>
                <w:sz w:val="21"/>
              </w:rPr>
            </w:pPr>
            <w:r>
              <w:rPr>
                <w:b/>
                <w:sz w:val="21"/>
              </w:rPr>
              <w:t>管控要求</w:t>
            </w:r>
          </w:p>
        </w:tc>
        <w:tc>
          <w:tcPr>
            <w:tcW w:w="2693" w:type="dxa"/>
          </w:tcPr>
          <w:p>
            <w:pPr>
              <w:pStyle w:val="12"/>
              <w:spacing w:before="92"/>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44"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9"/>
              </w:rPr>
            </w:pPr>
          </w:p>
          <w:p>
            <w:pPr>
              <w:pStyle w:val="12"/>
              <w:spacing w:line="213" w:lineRule="auto"/>
              <w:ind w:left="115" w:right="110"/>
              <w:jc w:val="both"/>
              <w:rPr>
                <w:sz w:val="21"/>
              </w:rPr>
            </w:pPr>
            <w:r>
              <w:rPr>
                <w:sz w:val="21"/>
              </w:rPr>
              <w:t>评估区</w:t>
            </w:r>
          </w:p>
        </w:tc>
        <w:tc>
          <w:tcPr>
            <w:tcW w:w="670" w:type="dxa"/>
            <w:vMerge w:val="restart"/>
          </w:tcPr>
          <w:p>
            <w:pPr>
              <w:pStyle w:val="12"/>
              <w:spacing w:before="12"/>
              <w:rPr>
                <w:b/>
                <w:sz w:val="27"/>
              </w:rPr>
            </w:pPr>
          </w:p>
          <w:p>
            <w:pPr>
              <w:pStyle w:val="12"/>
              <w:spacing w:line="213" w:lineRule="auto"/>
              <w:ind w:left="124" w:right="115"/>
              <w:jc w:val="both"/>
              <w:rPr>
                <w:sz w:val="21"/>
              </w:rPr>
            </w:pPr>
            <w:r>
              <w:rPr>
                <w:sz w:val="21"/>
              </w:rPr>
              <w:t>水源涵养重点区域</w:t>
            </w:r>
          </w:p>
        </w:tc>
        <w:tc>
          <w:tcPr>
            <w:tcW w:w="1882" w:type="dxa"/>
            <w:vMerge w:val="restart"/>
          </w:tcPr>
          <w:p>
            <w:pPr>
              <w:pStyle w:val="12"/>
              <w:spacing w:before="5"/>
              <w:rPr>
                <w:b/>
                <w:sz w:val="18"/>
              </w:rPr>
            </w:pPr>
          </w:p>
          <w:p>
            <w:pPr>
              <w:pStyle w:val="12"/>
              <w:spacing w:line="213" w:lineRule="auto"/>
              <w:ind w:left="107" w:right="293"/>
              <w:rPr>
                <w:sz w:val="21"/>
              </w:rPr>
            </w:pPr>
            <w:r>
              <w:rPr>
                <w:sz w:val="21"/>
              </w:rPr>
              <w:t>禁止开发建设活动的要求</w:t>
            </w:r>
          </w:p>
        </w:tc>
        <w:tc>
          <w:tcPr>
            <w:tcW w:w="16110" w:type="dxa"/>
            <w:tcBorders>
              <w:bottom w:val="single" w:color="000000" w:sz="4" w:space="0"/>
            </w:tcBorders>
          </w:tcPr>
          <w:p>
            <w:pPr>
              <w:pStyle w:val="12"/>
              <w:spacing w:before="68"/>
              <w:ind w:left="105"/>
              <w:rPr>
                <w:sz w:val="21"/>
              </w:rPr>
            </w:pPr>
            <w:r>
              <w:rPr>
                <w:sz w:val="21"/>
              </w:rPr>
              <w:t>严格保护具有水源涵养功能的自然植被，禁止过度放牧、无序采矿、毁林开荒、开垦草原等行为。</w:t>
            </w:r>
          </w:p>
        </w:tc>
        <w:tc>
          <w:tcPr>
            <w:tcW w:w="2693" w:type="dxa"/>
            <w:tcBorders>
              <w:bottom w:val="single" w:color="000000" w:sz="4" w:space="0"/>
            </w:tcBorders>
          </w:tcPr>
          <w:p>
            <w:pPr>
              <w:pStyle w:val="12"/>
              <w:spacing w:before="30"/>
              <w:ind w:left="105"/>
              <w:rPr>
                <w:sz w:val="21"/>
              </w:rPr>
            </w:pPr>
            <w:r>
              <w:rPr>
                <w:sz w:val="21"/>
              </w:rPr>
              <w:t>《全国主体功能区规划》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1882" w:type="dxa"/>
            <w:vMerge w:val="continue"/>
            <w:tcBorders>
              <w:top w:val="nil"/>
            </w:tcBorders>
          </w:tcPr>
          <w:p>
            <w:pPr>
              <w:rPr>
                <w:sz w:val="2"/>
                <w:szCs w:val="2"/>
              </w:rPr>
            </w:pPr>
          </w:p>
        </w:tc>
        <w:tc>
          <w:tcPr>
            <w:tcW w:w="16110" w:type="dxa"/>
            <w:tcBorders>
              <w:top w:val="single" w:color="000000" w:sz="4" w:space="0"/>
            </w:tcBorders>
          </w:tcPr>
          <w:p>
            <w:pPr>
              <w:pStyle w:val="12"/>
              <w:spacing w:before="121"/>
              <w:ind w:left="105"/>
              <w:rPr>
                <w:sz w:val="21"/>
              </w:rPr>
            </w:pPr>
            <w:r>
              <w:rPr>
                <w:sz w:val="21"/>
              </w:rPr>
              <w:t>禁止导致水体污染的产业发展。</w:t>
            </w:r>
          </w:p>
        </w:tc>
        <w:tc>
          <w:tcPr>
            <w:tcW w:w="2693" w:type="dxa"/>
            <w:vMerge w:val="restart"/>
            <w:tcBorders>
              <w:top w:val="single" w:color="000000" w:sz="4" w:space="0"/>
            </w:tcBorders>
          </w:tcPr>
          <w:p>
            <w:pPr>
              <w:pStyle w:val="12"/>
              <w:spacing w:before="5"/>
              <w:rPr>
                <w:b/>
                <w:sz w:val="27"/>
              </w:rPr>
            </w:pPr>
          </w:p>
          <w:p>
            <w:pPr>
              <w:pStyle w:val="12"/>
              <w:spacing w:line="266" w:lineRule="auto"/>
              <w:ind w:left="105" w:right="100"/>
              <w:rPr>
                <w:sz w:val="21"/>
              </w:rPr>
            </w:pPr>
            <w:r>
              <w:rPr>
                <w:sz w:val="21"/>
              </w:rPr>
              <w:t>《全国生态功能区规划</w:t>
            </w:r>
            <w:r>
              <w:rPr>
                <w:rFonts w:ascii="Calibri" w:eastAsia="Calibri"/>
                <w:sz w:val="21"/>
              </w:rPr>
              <w:t>(</w:t>
            </w:r>
            <w:r>
              <w:rPr>
                <w:sz w:val="21"/>
              </w:rPr>
              <w:t>修编</w:t>
            </w:r>
            <w:r>
              <w:rPr>
                <w:rFonts w:ascii="Calibri" w:eastAsia="Calibri"/>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1882" w:type="dxa"/>
          </w:tcPr>
          <w:p>
            <w:pPr>
              <w:pStyle w:val="12"/>
              <w:spacing w:before="122" w:line="213" w:lineRule="auto"/>
              <w:ind w:left="107" w:right="293"/>
              <w:rPr>
                <w:sz w:val="21"/>
              </w:rPr>
            </w:pPr>
            <w:r>
              <w:rPr>
                <w:sz w:val="21"/>
              </w:rPr>
              <w:t>限制开发建设活动的要求</w:t>
            </w:r>
          </w:p>
        </w:tc>
        <w:tc>
          <w:tcPr>
            <w:tcW w:w="16110" w:type="dxa"/>
          </w:tcPr>
          <w:p>
            <w:pPr>
              <w:pStyle w:val="12"/>
              <w:spacing w:line="234" w:lineRule="exact"/>
              <w:ind w:left="105"/>
              <w:rPr>
                <w:sz w:val="21"/>
              </w:rPr>
            </w:pPr>
            <w:r>
              <w:rPr>
                <w:sz w:val="21"/>
              </w:rPr>
              <w:t>严格限制在水源涵养区大规模人工造林。</w:t>
            </w:r>
          </w:p>
          <w:p>
            <w:pPr>
              <w:pStyle w:val="12"/>
              <w:spacing w:line="240" w:lineRule="exact"/>
              <w:ind w:left="105"/>
              <w:rPr>
                <w:sz w:val="21"/>
              </w:rPr>
            </w:pPr>
            <w:r>
              <w:rPr>
                <w:sz w:val="21"/>
              </w:rPr>
              <w:t>严格控制载牧量，实行以草定畜，减轻区内畜牧业对水源和生态系统的压力。</w:t>
            </w:r>
          </w:p>
          <w:p>
            <w:pPr>
              <w:pStyle w:val="12"/>
              <w:spacing w:line="221" w:lineRule="exact"/>
              <w:ind w:left="105"/>
              <w:rPr>
                <w:sz w:val="21"/>
              </w:rPr>
            </w:pPr>
            <w:r>
              <w:rPr>
                <w:sz w:val="21"/>
              </w:rPr>
              <w:t>结合已有的生态保护和建设重大工程，加强森林、草地和湿地的管护和恢复，合理开发水电，提高区域水源涵养生态功能。</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444" w:type="dxa"/>
            <w:vMerge w:val="continue"/>
            <w:tcBorders>
              <w:top w:val="nil"/>
              <w:bottom w:val="single" w:color="000000" w:sz="4" w:space="0"/>
            </w:tcBorders>
          </w:tcPr>
          <w:p>
            <w:pPr>
              <w:rPr>
                <w:sz w:val="2"/>
                <w:szCs w:val="2"/>
              </w:rPr>
            </w:pPr>
          </w:p>
        </w:tc>
        <w:tc>
          <w:tcPr>
            <w:tcW w:w="670" w:type="dxa"/>
            <w:tcBorders>
              <w:bottom w:val="nil"/>
            </w:tcBorders>
          </w:tcPr>
          <w:p>
            <w:pPr>
              <w:pStyle w:val="12"/>
              <w:rPr>
                <w:rFonts w:ascii="Times New Roman"/>
                <w:sz w:val="20"/>
              </w:rPr>
            </w:pPr>
          </w:p>
        </w:tc>
        <w:tc>
          <w:tcPr>
            <w:tcW w:w="1882" w:type="dxa"/>
            <w:tcBorders>
              <w:bottom w:val="nil"/>
            </w:tcBorders>
          </w:tcPr>
          <w:p>
            <w:pPr>
              <w:pStyle w:val="12"/>
              <w:rPr>
                <w:rFonts w:ascii="Times New Roman"/>
                <w:sz w:val="20"/>
              </w:rPr>
            </w:pPr>
          </w:p>
        </w:tc>
        <w:tc>
          <w:tcPr>
            <w:tcW w:w="16110" w:type="dxa"/>
            <w:tcBorders>
              <w:bottom w:val="single" w:color="000000" w:sz="4" w:space="0"/>
            </w:tcBorders>
          </w:tcPr>
          <w:p>
            <w:pPr>
              <w:pStyle w:val="12"/>
              <w:spacing w:before="2" w:line="213" w:lineRule="auto"/>
              <w:ind w:left="105" w:right="10950"/>
              <w:rPr>
                <w:sz w:val="21"/>
              </w:rPr>
            </w:pPr>
            <w:r>
              <w:rPr>
                <w:b/>
                <w:sz w:val="21"/>
              </w:rPr>
              <w:t>第二十条</w:t>
            </w:r>
            <w:r>
              <w:rPr>
                <w:sz w:val="21"/>
              </w:rPr>
              <w:t>禁止在二十五度以上陡坡地开垦种植农作物。</w:t>
            </w:r>
            <w:r>
              <w:rPr>
                <w:b/>
                <w:sz w:val="21"/>
              </w:rPr>
              <w:t>第十八条</w:t>
            </w:r>
            <w:r>
              <w:rPr>
                <w:sz w:val="21"/>
              </w:rPr>
              <w:t>禁止开垦、开发植物保护带。</w:t>
            </w:r>
          </w:p>
          <w:p>
            <w:pPr>
              <w:pStyle w:val="12"/>
              <w:spacing w:line="216" w:lineRule="exact"/>
              <w:ind w:left="105"/>
              <w:rPr>
                <w:sz w:val="21"/>
              </w:rPr>
            </w:pPr>
            <w:r>
              <w:rPr>
                <w:b/>
                <w:sz w:val="21"/>
              </w:rPr>
              <w:t>第十七条</w:t>
            </w:r>
            <w:r>
              <w:rPr>
                <w:sz w:val="21"/>
              </w:rPr>
              <w:t>禁止在崩塌、滑坡危险区和泥石流易发区从事取土、挖砂、采石等可能造成水土流失的活动。</w:t>
            </w:r>
          </w:p>
        </w:tc>
        <w:tc>
          <w:tcPr>
            <w:tcW w:w="2693" w:type="dxa"/>
            <w:tcBorders>
              <w:bottom w:val="single" w:color="000000" w:sz="4" w:space="0"/>
            </w:tcBorders>
          </w:tcPr>
          <w:p>
            <w:pPr>
              <w:pStyle w:val="12"/>
              <w:spacing w:before="27" w:line="266" w:lineRule="auto"/>
              <w:ind w:left="105" w:right="266"/>
              <w:rPr>
                <w:sz w:val="21"/>
              </w:rPr>
            </w:pPr>
            <w:r>
              <w:rPr>
                <w:sz w:val="21"/>
              </w:rPr>
              <w:t>《中华人民共和国水土保持法》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444" w:type="dxa"/>
            <w:vMerge w:val="continue"/>
            <w:tcBorders>
              <w:top w:val="nil"/>
              <w:bottom w:val="single" w:color="000000" w:sz="4" w:space="0"/>
            </w:tcBorders>
          </w:tcPr>
          <w:p>
            <w:pPr>
              <w:rPr>
                <w:sz w:val="2"/>
                <w:szCs w:val="2"/>
              </w:rPr>
            </w:pPr>
          </w:p>
        </w:tc>
        <w:tc>
          <w:tcPr>
            <w:tcW w:w="670" w:type="dxa"/>
            <w:tcBorders>
              <w:top w:val="nil"/>
              <w:bottom w:val="nil"/>
            </w:tcBorders>
          </w:tcPr>
          <w:p>
            <w:pPr>
              <w:pStyle w:val="12"/>
              <w:rPr>
                <w:rFonts w:ascii="Times New Roman"/>
                <w:sz w:val="20"/>
              </w:rPr>
            </w:pPr>
          </w:p>
        </w:tc>
        <w:tc>
          <w:tcPr>
            <w:tcW w:w="1882" w:type="dxa"/>
            <w:tcBorders>
              <w:top w:val="nil"/>
              <w:bottom w:val="nil"/>
            </w:tcBorders>
          </w:tcPr>
          <w:p>
            <w:pPr>
              <w:pStyle w:val="12"/>
              <w:rPr>
                <w:b/>
                <w:sz w:val="20"/>
              </w:rPr>
            </w:pPr>
          </w:p>
          <w:p>
            <w:pPr>
              <w:pStyle w:val="12"/>
              <w:spacing w:before="139" w:line="240" w:lineRule="exact"/>
              <w:ind w:left="107" w:right="293"/>
              <w:rPr>
                <w:sz w:val="21"/>
              </w:rPr>
            </w:pPr>
            <w:r>
              <w:rPr>
                <w:sz w:val="21"/>
              </w:rPr>
              <w:t>禁止开发建设活动的要求</w:t>
            </w:r>
          </w:p>
        </w:tc>
        <w:tc>
          <w:tcPr>
            <w:tcW w:w="16110" w:type="dxa"/>
            <w:tcBorders>
              <w:top w:val="single" w:color="000000" w:sz="4" w:space="0"/>
              <w:bottom w:val="single" w:color="000000" w:sz="4" w:space="0"/>
            </w:tcBorders>
          </w:tcPr>
          <w:p>
            <w:pPr>
              <w:pStyle w:val="12"/>
              <w:rPr>
                <w:b/>
                <w:sz w:val="15"/>
              </w:rPr>
            </w:pPr>
          </w:p>
          <w:p>
            <w:pPr>
              <w:pStyle w:val="12"/>
              <w:spacing w:before="1" w:line="255" w:lineRule="exact"/>
              <w:ind w:left="105"/>
              <w:rPr>
                <w:sz w:val="21"/>
              </w:rPr>
            </w:pPr>
            <w:r>
              <w:rPr>
                <w:b/>
                <w:sz w:val="21"/>
              </w:rPr>
              <w:t>3.2.3</w:t>
            </w:r>
            <w:r>
              <w:rPr>
                <w:b/>
                <w:spacing w:val="-51"/>
                <w:sz w:val="21"/>
              </w:rPr>
              <w:t xml:space="preserve"> </w:t>
            </w:r>
            <w:r>
              <w:rPr>
                <w:spacing w:val="-3"/>
                <w:sz w:val="21"/>
              </w:rPr>
              <w:t>严禁在崩塌滑坡危险区和泥石流易发区内设置取土</w:t>
            </w:r>
            <w:r>
              <w:rPr>
                <w:sz w:val="21"/>
              </w:rPr>
              <w:t>（</w:t>
            </w:r>
            <w:r>
              <w:rPr>
                <w:spacing w:val="-3"/>
                <w:sz w:val="21"/>
              </w:rPr>
              <w:t>石、砂</w:t>
            </w:r>
            <w:r>
              <w:rPr>
                <w:sz w:val="21"/>
              </w:rPr>
              <w:t>）</w:t>
            </w:r>
            <w:r>
              <w:rPr>
                <w:spacing w:val="-2"/>
                <w:sz w:val="21"/>
              </w:rPr>
              <w:t>场；</w:t>
            </w:r>
          </w:p>
          <w:p>
            <w:pPr>
              <w:pStyle w:val="12"/>
              <w:spacing w:line="255" w:lineRule="exact"/>
              <w:ind w:left="105"/>
              <w:rPr>
                <w:sz w:val="21"/>
              </w:rPr>
            </w:pPr>
            <w:r>
              <w:rPr>
                <w:b/>
                <w:sz w:val="21"/>
              </w:rPr>
              <w:t>3.2.5</w:t>
            </w:r>
            <w:r>
              <w:rPr>
                <w:b/>
                <w:spacing w:val="-51"/>
                <w:sz w:val="21"/>
              </w:rPr>
              <w:t xml:space="preserve"> </w:t>
            </w:r>
            <w:r>
              <w:rPr>
                <w:spacing w:val="-3"/>
                <w:sz w:val="21"/>
              </w:rPr>
              <w:t>严禁在对公共设施、基础设施、工业企业、居民点等有重大影响的区域设置弃土</w:t>
            </w:r>
            <w:r>
              <w:rPr>
                <w:sz w:val="21"/>
              </w:rPr>
              <w:t>（</w:t>
            </w:r>
            <w:r>
              <w:rPr>
                <w:spacing w:val="-3"/>
                <w:sz w:val="21"/>
              </w:rPr>
              <w:t>石、渣、灰、矸石、尾矿）</w:t>
            </w:r>
            <w:r>
              <w:rPr>
                <w:sz w:val="21"/>
              </w:rPr>
              <w:t>场。</w:t>
            </w:r>
          </w:p>
        </w:tc>
        <w:tc>
          <w:tcPr>
            <w:tcW w:w="2693" w:type="dxa"/>
            <w:tcBorders>
              <w:top w:val="single" w:color="000000" w:sz="4" w:space="0"/>
              <w:bottom w:val="single" w:color="000000" w:sz="4" w:space="0"/>
            </w:tcBorders>
          </w:tcPr>
          <w:p>
            <w:pPr>
              <w:pStyle w:val="12"/>
              <w:spacing w:before="29" w:line="266" w:lineRule="auto"/>
              <w:ind w:left="105" w:right="266"/>
              <w:rPr>
                <w:sz w:val="21"/>
              </w:rPr>
            </w:pPr>
            <w:r>
              <w:rPr>
                <w:sz w:val="21"/>
              </w:rPr>
              <w:t>《生产建设项目水土保持技术标准》（GB 50433－</w:t>
            </w:r>
          </w:p>
          <w:p>
            <w:pPr>
              <w:pStyle w:val="12"/>
              <w:spacing w:before="3" w:line="250" w:lineRule="exact"/>
              <w:ind w:left="105"/>
              <w:rPr>
                <w:sz w:val="21"/>
              </w:rPr>
            </w:pPr>
            <w:r>
              <w:rPr>
                <w:sz w:val="21"/>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44" w:type="dxa"/>
            <w:vMerge w:val="continue"/>
            <w:tcBorders>
              <w:top w:val="nil"/>
              <w:bottom w:val="single" w:color="000000" w:sz="4" w:space="0"/>
            </w:tcBorders>
          </w:tcPr>
          <w:p>
            <w:pPr>
              <w:rPr>
                <w:sz w:val="2"/>
                <w:szCs w:val="2"/>
              </w:rPr>
            </w:pPr>
          </w:p>
        </w:tc>
        <w:tc>
          <w:tcPr>
            <w:tcW w:w="670" w:type="dxa"/>
            <w:tcBorders>
              <w:top w:val="nil"/>
              <w:bottom w:val="nil"/>
            </w:tcBorders>
          </w:tcPr>
          <w:p>
            <w:pPr>
              <w:pStyle w:val="12"/>
              <w:rPr>
                <w:rFonts w:ascii="Times New Roman"/>
                <w:sz w:val="18"/>
              </w:rPr>
            </w:pPr>
          </w:p>
        </w:tc>
        <w:tc>
          <w:tcPr>
            <w:tcW w:w="1882" w:type="dxa"/>
            <w:tcBorders>
              <w:top w:val="nil"/>
              <w:bottom w:val="nil"/>
            </w:tcBorders>
          </w:tcPr>
          <w:p>
            <w:pPr>
              <w:pStyle w:val="12"/>
              <w:rPr>
                <w:rFonts w:ascii="Times New Roman"/>
                <w:sz w:val="18"/>
              </w:rPr>
            </w:pPr>
          </w:p>
        </w:tc>
        <w:tc>
          <w:tcPr>
            <w:tcW w:w="16110" w:type="dxa"/>
            <w:tcBorders>
              <w:top w:val="single" w:color="000000" w:sz="4" w:space="0"/>
              <w:bottom w:val="nil"/>
            </w:tcBorders>
          </w:tcPr>
          <w:p>
            <w:pPr>
              <w:pStyle w:val="12"/>
              <w:spacing w:before="1" w:line="246" w:lineRule="exact"/>
              <w:ind w:left="105"/>
              <w:rPr>
                <w:sz w:val="21"/>
              </w:rPr>
            </w:pPr>
            <w:r>
              <w:rPr>
                <w:b/>
                <w:sz w:val="21"/>
              </w:rPr>
              <w:t>第十三条</w:t>
            </w:r>
            <w:r>
              <w:rPr>
                <w:sz w:val="21"/>
              </w:rPr>
              <w:t>禁止开垦二十五度以上陡坡地种植农作物。</w:t>
            </w:r>
          </w:p>
        </w:tc>
        <w:tc>
          <w:tcPr>
            <w:tcW w:w="2693" w:type="dxa"/>
            <w:tcBorders>
              <w:top w:val="single" w:color="000000" w:sz="4" w:space="0"/>
              <w:bottom w:val="nil"/>
            </w:tcBorders>
          </w:tcPr>
          <w:p>
            <w:pPr>
              <w:pStyle w:val="12"/>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44" w:type="dxa"/>
            <w:vMerge w:val="continue"/>
            <w:tcBorders>
              <w:top w:val="nil"/>
              <w:bottom w:val="single" w:color="000000" w:sz="4" w:space="0"/>
            </w:tcBorders>
          </w:tcPr>
          <w:p>
            <w:pPr>
              <w:rPr>
                <w:sz w:val="2"/>
                <w:szCs w:val="2"/>
              </w:rPr>
            </w:pPr>
          </w:p>
        </w:tc>
        <w:tc>
          <w:tcPr>
            <w:tcW w:w="670" w:type="dxa"/>
            <w:tcBorders>
              <w:top w:val="nil"/>
              <w:bottom w:val="nil"/>
            </w:tcBorders>
          </w:tcPr>
          <w:p>
            <w:pPr>
              <w:pStyle w:val="12"/>
              <w:rPr>
                <w:rFonts w:ascii="Times New Roman"/>
                <w:sz w:val="20"/>
              </w:rPr>
            </w:pPr>
          </w:p>
        </w:tc>
        <w:tc>
          <w:tcPr>
            <w:tcW w:w="1882" w:type="dxa"/>
            <w:tcBorders>
              <w:top w:val="nil"/>
              <w:bottom w:val="nil"/>
            </w:tcBorders>
          </w:tcPr>
          <w:p>
            <w:pPr>
              <w:pStyle w:val="12"/>
              <w:rPr>
                <w:rFonts w:ascii="Times New Roman"/>
                <w:sz w:val="20"/>
              </w:rPr>
            </w:pPr>
          </w:p>
        </w:tc>
        <w:tc>
          <w:tcPr>
            <w:tcW w:w="16110" w:type="dxa"/>
            <w:tcBorders>
              <w:top w:val="nil"/>
              <w:bottom w:val="nil"/>
            </w:tcBorders>
          </w:tcPr>
          <w:p>
            <w:pPr>
              <w:pStyle w:val="12"/>
              <w:spacing w:line="267" w:lineRule="exact"/>
              <w:ind w:left="105"/>
              <w:rPr>
                <w:sz w:val="21"/>
              </w:rPr>
            </w:pPr>
            <w:r>
              <w:rPr>
                <w:sz w:val="21"/>
              </w:rPr>
              <w:t>禁止毁林、毁草开垦。</w:t>
            </w:r>
          </w:p>
          <w:p>
            <w:pPr>
              <w:pStyle w:val="12"/>
              <w:spacing w:before="2" w:line="246" w:lineRule="exact"/>
              <w:ind w:left="105"/>
              <w:rPr>
                <w:sz w:val="21"/>
              </w:rPr>
            </w:pPr>
            <w:r>
              <w:rPr>
                <w:b/>
                <w:sz w:val="21"/>
              </w:rPr>
              <w:t>第十四条</w:t>
            </w:r>
            <w:r>
              <w:rPr>
                <w:sz w:val="21"/>
              </w:rPr>
              <w:t>禁止在林地、山坡地滥取地表土。</w:t>
            </w:r>
          </w:p>
        </w:tc>
        <w:tc>
          <w:tcPr>
            <w:tcW w:w="2693" w:type="dxa"/>
            <w:tcBorders>
              <w:top w:val="nil"/>
              <w:bottom w:val="nil"/>
            </w:tcBorders>
          </w:tcPr>
          <w:p>
            <w:pPr>
              <w:pStyle w:val="12"/>
              <w:spacing w:before="149"/>
              <w:ind w:left="187"/>
              <w:rPr>
                <w:sz w:val="21"/>
              </w:rPr>
            </w:pPr>
            <w:r>
              <w:rPr>
                <w:sz w:val="21"/>
              </w:rPr>
              <w:t>《贵州省水土保持条例》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44" w:type="dxa"/>
            <w:vMerge w:val="continue"/>
            <w:tcBorders>
              <w:top w:val="nil"/>
              <w:bottom w:val="single" w:color="000000" w:sz="4" w:space="0"/>
            </w:tcBorders>
          </w:tcPr>
          <w:p>
            <w:pPr>
              <w:rPr>
                <w:sz w:val="2"/>
                <w:szCs w:val="2"/>
              </w:rPr>
            </w:pPr>
          </w:p>
        </w:tc>
        <w:tc>
          <w:tcPr>
            <w:tcW w:w="670" w:type="dxa"/>
            <w:tcBorders>
              <w:top w:val="nil"/>
              <w:bottom w:val="nil"/>
            </w:tcBorders>
          </w:tcPr>
          <w:p>
            <w:pPr>
              <w:pStyle w:val="12"/>
              <w:rPr>
                <w:rFonts w:ascii="Times New Roman"/>
                <w:sz w:val="18"/>
              </w:rPr>
            </w:pPr>
          </w:p>
        </w:tc>
        <w:tc>
          <w:tcPr>
            <w:tcW w:w="1882" w:type="dxa"/>
            <w:tcBorders>
              <w:top w:val="nil"/>
            </w:tcBorders>
          </w:tcPr>
          <w:p>
            <w:pPr>
              <w:pStyle w:val="12"/>
              <w:rPr>
                <w:rFonts w:ascii="Times New Roman"/>
                <w:sz w:val="18"/>
              </w:rPr>
            </w:pPr>
          </w:p>
        </w:tc>
        <w:tc>
          <w:tcPr>
            <w:tcW w:w="16110" w:type="dxa"/>
            <w:tcBorders>
              <w:top w:val="nil"/>
            </w:tcBorders>
          </w:tcPr>
          <w:p>
            <w:pPr>
              <w:pStyle w:val="12"/>
              <w:spacing w:line="245" w:lineRule="exact"/>
              <w:ind w:left="105"/>
              <w:rPr>
                <w:sz w:val="21"/>
              </w:rPr>
            </w:pPr>
            <w:r>
              <w:rPr>
                <w:sz w:val="21"/>
              </w:rPr>
              <w:t>禁止在水土流失重点预防区和重点治理区铲草皮、挖树兜、挖砂、采石或者滥挖中药材、滥采观赏石材等。</w:t>
            </w:r>
          </w:p>
        </w:tc>
        <w:tc>
          <w:tcPr>
            <w:tcW w:w="2693" w:type="dxa"/>
            <w:tcBorders>
              <w:top w:val="nil"/>
            </w:tcBorders>
          </w:tcPr>
          <w:p>
            <w:pPr>
              <w:pStyle w:val="12"/>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444" w:type="dxa"/>
            <w:vMerge w:val="continue"/>
            <w:tcBorders>
              <w:top w:val="nil"/>
              <w:bottom w:val="single" w:color="000000" w:sz="4" w:space="0"/>
            </w:tcBorders>
          </w:tcPr>
          <w:p>
            <w:pPr>
              <w:rPr>
                <w:sz w:val="2"/>
                <w:szCs w:val="2"/>
              </w:rPr>
            </w:pPr>
          </w:p>
        </w:tc>
        <w:tc>
          <w:tcPr>
            <w:tcW w:w="670" w:type="dxa"/>
            <w:vMerge w:val="restart"/>
            <w:tcBorders>
              <w:top w:val="nil"/>
              <w:bottom w:val="nil"/>
            </w:tcBorders>
          </w:tcPr>
          <w:p>
            <w:pPr>
              <w:pStyle w:val="12"/>
              <w:spacing w:line="213" w:lineRule="auto"/>
              <w:ind w:left="124" w:right="115"/>
              <w:jc w:val="both"/>
              <w:rPr>
                <w:sz w:val="21"/>
              </w:rPr>
            </w:pPr>
            <w:r>
              <w:rPr>
                <w:sz w:val="21"/>
              </w:rPr>
              <w:t>水土保持重点区域</w:t>
            </w:r>
          </w:p>
        </w:tc>
        <w:tc>
          <w:tcPr>
            <w:tcW w:w="1882" w:type="dxa"/>
            <w:vMerge w:val="restart"/>
          </w:tcPr>
          <w:p>
            <w:pPr>
              <w:pStyle w:val="12"/>
              <w:rPr>
                <w:b/>
                <w:sz w:val="20"/>
              </w:rPr>
            </w:pPr>
          </w:p>
          <w:p>
            <w:pPr>
              <w:pStyle w:val="12"/>
              <w:rPr>
                <w:b/>
                <w:sz w:val="20"/>
              </w:rPr>
            </w:pPr>
          </w:p>
          <w:p>
            <w:pPr>
              <w:pStyle w:val="12"/>
              <w:spacing w:before="2"/>
              <w:rPr>
                <w:b/>
                <w:sz w:val="16"/>
              </w:rPr>
            </w:pPr>
          </w:p>
          <w:p>
            <w:pPr>
              <w:pStyle w:val="12"/>
              <w:spacing w:line="213" w:lineRule="auto"/>
              <w:ind w:left="107" w:right="293"/>
              <w:rPr>
                <w:sz w:val="21"/>
              </w:rPr>
            </w:pPr>
            <w:r>
              <w:rPr>
                <w:sz w:val="21"/>
              </w:rPr>
              <w:t>限制开发建设活动的要求</w:t>
            </w:r>
          </w:p>
        </w:tc>
        <w:tc>
          <w:tcPr>
            <w:tcW w:w="16110" w:type="dxa"/>
            <w:tcBorders>
              <w:bottom w:val="single" w:color="000000" w:sz="4" w:space="0"/>
            </w:tcBorders>
          </w:tcPr>
          <w:p>
            <w:pPr>
              <w:pStyle w:val="12"/>
              <w:spacing w:line="244" w:lineRule="auto"/>
              <w:ind w:left="105" w:right="4435"/>
              <w:rPr>
                <w:sz w:val="21"/>
              </w:rPr>
            </w:pPr>
            <w:r>
              <w:rPr>
                <w:b/>
                <w:sz w:val="21"/>
              </w:rPr>
              <w:t>第二十条</w:t>
            </w:r>
            <w:r>
              <w:rPr>
                <w:sz w:val="21"/>
              </w:rPr>
              <w:t>在二十五度以上陡坡地种植经济林的，应当科学选择树种，合理确定规模，采取水土保持措施，防止造成水土流失。</w:t>
            </w:r>
            <w:r>
              <w:rPr>
                <w:b/>
                <w:sz w:val="21"/>
              </w:rPr>
              <w:t>第二十二条</w:t>
            </w:r>
            <w:r>
              <w:rPr>
                <w:sz w:val="21"/>
              </w:rPr>
              <w:t>对水源涵养林、水土保持林、防风固沙林等防护林只能进行抚育和更新性质的采伐。</w:t>
            </w:r>
          </w:p>
        </w:tc>
        <w:tc>
          <w:tcPr>
            <w:tcW w:w="2693" w:type="dxa"/>
            <w:tcBorders>
              <w:bottom w:val="single" w:color="000000" w:sz="4" w:space="0"/>
            </w:tcBorders>
          </w:tcPr>
          <w:p>
            <w:pPr>
              <w:pStyle w:val="12"/>
              <w:spacing w:before="27" w:line="266" w:lineRule="auto"/>
              <w:ind w:left="105" w:right="266"/>
              <w:rPr>
                <w:sz w:val="21"/>
              </w:rPr>
            </w:pPr>
            <w:r>
              <w:rPr>
                <w:sz w:val="21"/>
              </w:rPr>
              <w:t>《中华人民共和国水土保持法》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nil"/>
            </w:tcBorders>
          </w:tcPr>
          <w:p>
            <w:pPr>
              <w:rPr>
                <w:sz w:val="2"/>
                <w:szCs w:val="2"/>
              </w:rPr>
            </w:pPr>
          </w:p>
        </w:tc>
        <w:tc>
          <w:tcPr>
            <w:tcW w:w="1882" w:type="dxa"/>
            <w:vMerge w:val="continue"/>
            <w:tcBorders>
              <w:top w:val="nil"/>
            </w:tcBorders>
          </w:tcPr>
          <w:p>
            <w:pPr>
              <w:rPr>
                <w:sz w:val="2"/>
                <w:szCs w:val="2"/>
              </w:rPr>
            </w:pPr>
          </w:p>
        </w:tc>
        <w:tc>
          <w:tcPr>
            <w:tcW w:w="16110" w:type="dxa"/>
            <w:tcBorders>
              <w:top w:val="single" w:color="000000" w:sz="4" w:space="0"/>
            </w:tcBorders>
          </w:tcPr>
          <w:p>
            <w:pPr>
              <w:pStyle w:val="12"/>
              <w:spacing w:before="7" w:line="213" w:lineRule="auto"/>
              <w:ind w:left="105" w:right="1284"/>
              <w:rPr>
                <w:sz w:val="21"/>
              </w:rPr>
            </w:pPr>
            <w:r>
              <w:rPr>
                <w:b/>
                <w:sz w:val="21"/>
              </w:rPr>
              <w:t>第十三条</w:t>
            </w:r>
            <w:r>
              <w:rPr>
                <w:spacing w:val="-3"/>
                <w:sz w:val="21"/>
              </w:rPr>
              <w:t>在二十五度以上陡坡地种植经济林的，应当科学选择树种，加强抚育管理，采取鱼鳞坑、水平阶等整地方式和蓄水、引水、排水等措施防止水土流失。</w:t>
            </w:r>
            <w:r>
              <w:rPr>
                <w:b/>
                <w:spacing w:val="-3"/>
                <w:sz w:val="21"/>
              </w:rPr>
              <w:t>第十五条</w:t>
            </w:r>
            <w:r>
              <w:rPr>
                <w:spacing w:val="-3"/>
                <w:sz w:val="21"/>
              </w:rPr>
              <w:t>在五度以上坡地植树造林，种植经济作物、中药材等，可以采取等高、带状等有利于保持水土的种植方式，并布设水平沟、排水沟等水土保持措施。</w:t>
            </w:r>
          </w:p>
          <w:p>
            <w:pPr>
              <w:pStyle w:val="12"/>
              <w:spacing w:before="1" w:line="213" w:lineRule="auto"/>
              <w:ind w:left="105" w:right="97"/>
              <w:rPr>
                <w:sz w:val="21"/>
              </w:rPr>
            </w:pPr>
            <w:r>
              <w:rPr>
                <w:b/>
                <w:sz w:val="21"/>
              </w:rPr>
              <w:t>第十七条</w:t>
            </w:r>
            <w:r>
              <w:rPr>
                <w:spacing w:val="-9"/>
                <w:sz w:val="21"/>
              </w:rPr>
              <w:t>在山区、丘陵区以及水土保持规划确定的容易发生水土流失的其他区域开办可能造成水土流失的生产建设项目，生产建设单位应当编制水土保持方案，报县级以上人</w:t>
            </w:r>
            <w:r>
              <w:rPr>
                <w:spacing w:val="-5"/>
                <w:sz w:val="21"/>
              </w:rPr>
              <w:t>民政府水行政主管部门审批。</w:t>
            </w:r>
          </w:p>
          <w:p>
            <w:pPr>
              <w:pStyle w:val="12"/>
              <w:spacing w:line="218" w:lineRule="exact"/>
              <w:ind w:left="105"/>
              <w:rPr>
                <w:sz w:val="21"/>
              </w:rPr>
            </w:pPr>
            <w:r>
              <w:rPr>
                <w:b/>
                <w:sz w:val="21"/>
              </w:rPr>
              <w:t>第二十一条</w:t>
            </w:r>
            <w:r>
              <w:rPr>
                <w:sz w:val="21"/>
              </w:rPr>
              <w:t>在城镇范围内设置弃渣场或者开办取土场、采石场等项目，应当实行严格的监督管理和水土保持方案制度。</w:t>
            </w:r>
          </w:p>
        </w:tc>
        <w:tc>
          <w:tcPr>
            <w:tcW w:w="2693" w:type="dxa"/>
            <w:tcBorders>
              <w:top w:val="single" w:color="000000" w:sz="4" w:space="0"/>
            </w:tcBorders>
          </w:tcPr>
          <w:p>
            <w:pPr>
              <w:pStyle w:val="12"/>
              <w:rPr>
                <w:b/>
                <w:sz w:val="20"/>
              </w:rPr>
            </w:pPr>
          </w:p>
          <w:p>
            <w:pPr>
              <w:pStyle w:val="12"/>
              <w:spacing w:before="9"/>
              <w:rPr>
                <w:b/>
                <w:sz w:val="17"/>
              </w:rPr>
            </w:pPr>
          </w:p>
          <w:p>
            <w:pPr>
              <w:pStyle w:val="12"/>
              <w:ind w:left="105"/>
              <w:rPr>
                <w:sz w:val="21"/>
              </w:rPr>
            </w:pPr>
            <w:r>
              <w:rPr>
                <w:sz w:val="21"/>
              </w:rPr>
              <w:t>《贵州省水土保持条例》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444" w:type="dxa"/>
            <w:vMerge w:val="continue"/>
            <w:tcBorders>
              <w:top w:val="nil"/>
              <w:bottom w:val="single" w:color="000000" w:sz="4" w:space="0"/>
            </w:tcBorders>
          </w:tcPr>
          <w:p>
            <w:pPr>
              <w:rPr>
                <w:sz w:val="2"/>
                <w:szCs w:val="2"/>
              </w:rPr>
            </w:pPr>
          </w:p>
        </w:tc>
        <w:tc>
          <w:tcPr>
            <w:tcW w:w="670" w:type="dxa"/>
            <w:tcBorders>
              <w:top w:val="nil"/>
              <w:bottom w:val="nil"/>
            </w:tcBorders>
          </w:tcPr>
          <w:p>
            <w:pPr>
              <w:pStyle w:val="12"/>
              <w:rPr>
                <w:rFonts w:ascii="Times New Roman"/>
                <w:sz w:val="18"/>
              </w:rPr>
            </w:pPr>
          </w:p>
        </w:tc>
        <w:tc>
          <w:tcPr>
            <w:tcW w:w="1882" w:type="dxa"/>
            <w:tcBorders>
              <w:bottom w:val="nil"/>
            </w:tcBorders>
          </w:tcPr>
          <w:p>
            <w:pPr>
              <w:pStyle w:val="12"/>
              <w:rPr>
                <w:rFonts w:ascii="Times New Roman"/>
                <w:sz w:val="18"/>
              </w:rPr>
            </w:pPr>
          </w:p>
        </w:tc>
        <w:tc>
          <w:tcPr>
            <w:tcW w:w="16110" w:type="dxa"/>
            <w:tcBorders>
              <w:bottom w:val="nil"/>
            </w:tcBorders>
          </w:tcPr>
          <w:p>
            <w:pPr>
              <w:pStyle w:val="12"/>
              <w:spacing w:line="235" w:lineRule="exact"/>
              <w:ind w:left="105"/>
              <w:rPr>
                <w:sz w:val="21"/>
              </w:rPr>
            </w:pPr>
            <w:r>
              <w:rPr>
                <w:sz w:val="21"/>
              </w:rPr>
              <w:t>推进天然林草保护，封山育林育草、退耕还林还草，治理水土流失，维护或重建湿地、森林、草地等生态系统。加大河流源头及上游地区的小流域治理，减少面源污染。拓宽</w:t>
            </w:r>
          </w:p>
        </w:tc>
        <w:tc>
          <w:tcPr>
            <w:tcW w:w="2693" w:type="dxa"/>
            <w:tcBorders>
              <w:bottom w:val="nil"/>
            </w:tcBorders>
          </w:tcPr>
          <w:p>
            <w:pPr>
              <w:pStyle w:val="12"/>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444" w:type="dxa"/>
            <w:vMerge w:val="continue"/>
            <w:tcBorders>
              <w:top w:val="nil"/>
              <w:bottom w:val="single" w:color="000000" w:sz="4" w:space="0"/>
            </w:tcBorders>
          </w:tcPr>
          <w:p>
            <w:pPr>
              <w:rPr>
                <w:sz w:val="2"/>
                <w:szCs w:val="2"/>
              </w:rPr>
            </w:pPr>
          </w:p>
        </w:tc>
        <w:tc>
          <w:tcPr>
            <w:tcW w:w="670" w:type="dxa"/>
            <w:tcBorders>
              <w:top w:val="nil"/>
              <w:bottom w:val="nil"/>
            </w:tcBorders>
          </w:tcPr>
          <w:p>
            <w:pPr>
              <w:pStyle w:val="12"/>
              <w:rPr>
                <w:rFonts w:ascii="Times New Roman"/>
                <w:sz w:val="20"/>
              </w:rPr>
            </w:pPr>
          </w:p>
        </w:tc>
        <w:tc>
          <w:tcPr>
            <w:tcW w:w="1882" w:type="dxa"/>
            <w:tcBorders>
              <w:top w:val="nil"/>
            </w:tcBorders>
          </w:tcPr>
          <w:p>
            <w:pPr>
              <w:pStyle w:val="12"/>
              <w:spacing w:before="11" w:line="213" w:lineRule="auto"/>
              <w:ind w:left="107" w:right="293"/>
              <w:rPr>
                <w:sz w:val="21"/>
              </w:rPr>
            </w:pPr>
            <w:r>
              <w:rPr>
                <w:sz w:val="21"/>
              </w:rPr>
              <w:t>允许开发建设活动的特殊要求</w:t>
            </w:r>
          </w:p>
        </w:tc>
        <w:tc>
          <w:tcPr>
            <w:tcW w:w="16110" w:type="dxa"/>
            <w:tcBorders>
              <w:top w:val="nil"/>
            </w:tcBorders>
          </w:tcPr>
          <w:p>
            <w:pPr>
              <w:pStyle w:val="12"/>
              <w:spacing w:before="7" w:line="261" w:lineRule="exact"/>
              <w:ind w:left="105"/>
              <w:rPr>
                <w:sz w:val="21"/>
              </w:rPr>
            </w:pPr>
            <w:r>
              <w:rPr>
                <w:sz w:val="21"/>
              </w:rPr>
              <w:t>农民增收渠道，解决农民长远生计，巩固林草植被建设成果。</w:t>
            </w:r>
          </w:p>
          <w:p>
            <w:pPr>
              <w:pStyle w:val="12"/>
              <w:spacing w:before="10" w:line="240" w:lineRule="exact"/>
              <w:ind w:left="105" w:right="97"/>
              <w:rPr>
                <w:sz w:val="21"/>
              </w:rPr>
            </w:pPr>
            <w:r>
              <w:rPr>
                <w:spacing w:val="-8"/>
                <w:sz w:val="21"/>
              </w:rPr>
              <w:t>大力发展节水灌溉和雨水集蓄利用。加大公益林建设和退耕还林还草力度，加强小流域综合治理，恢复退化植被，最大限度地减少人为因素造成新的水土流失。解决农民长远</w:t>
            </w:r>
            <w:r>
              <w:rPr>
                <w:spacing w:val="-5"/>
                <w:sz w:val="21"/>
              </w:rPr>
              <w:t>生计，巩固水土流失治理、退耕还林还草成果。</w:t>
            </w:r>
          </w:p>
        </w:tc>
        <w:tc>
          <w:tcPr>
            <w:tcW w:w="2693" w:type="dxa"/>
            <w:tcBorders>
              <w:top w:val="nil"/>
            </w:tcBorders>
          </w:tcPr>
          <w:p>
            <w:pPr>
              <w:pStyle w:val="12"/>
              <w:spacing w:before="125"/>
              <w:ind w:left="105"/>
              <w:rPr>
                <w:sz w:val="21"/>
              </w:rPr>
            </w:pPr>
            <w:r>
              <w:rPr>
                <w:sz w:val="21"/>
              </w:rPr>
              <w:t>《贵州省主体功能区规划》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44" w:type="dxa"/>
            <w:vMerge w:val="continue"/>
            <w:tcBorders>
              <w:top w:val="nil"/>
              <w:bottom w:val="single" w:color="000000" w:sz="4" w:space="0"/>
            </w:tcBorders>
          </w:tcPr>
          <w:p>
            <w:pPr>
              <w:rPr>
                <w:sz w:val="2"/>
                <w:szCs w:val="2"/>
              </w:rPr>
            </w:pPr>
          </w:p>
        </w:tc>
        <w:tc>
          <w:tcPr>
            <w:tcW w:w="670" w:type="dxa"/>
            <w:tcBorders>
              <w:top w:val="nil"/>
            </w:tcBorders>
          </w:tcPr>
          <w:p>
            <w:pPr>
              <w:pStyle w:val="12"/>
              <w:rPr>
                <w:rFonts w:ascii="Times New Roman"/>
                <w:sz w:val="20"/>
              </w:rPr>
            </w:pPr>
          </w:p>
        </w:tc>
        <w:tc>
          <w:tcPr>
            <w:tcW w:w="1882" w:type="dxa"/>
          </w:tcPr>
          <w:p>
            <w:pPr>
              <w:pStyle w:val="12"/>
              <w:spacing w:line="213" w:lineRule="auto"/>
              <w:ind w:left="107" w:right="293"/>
              <w:rPr>
                <w:sz w:val="21"/>
              </w:rPr>
            </w:pPr>
            <w:r>
              <w:rPr>
                <w:sz w:val="21"/>
              </w:rPr>
              <w:t>不符合空间布局要求活动的退出</w:t>
            </w:r>
          </w:p>
          <w:p>
            <w:pPr>
              <w:pStyle w:val="12"/>
              <w:spacing w:line="213" w:lineRule="exact"/>
              <w:ind w:left="107"/>
              <w:rPr>
                <w:sz w:val="21"/>
              </w:rPr>
            </w:pPr>
            <w:r>
              <w:rPr>
                <w:sz w:val="21"/>
              </w:rPr>
              <w:t>要求</w:t>
            </w:r>
          </w:p>
        </w:tc>
        <w:tc>
          <w:tcPr>
            <w:tcW w:w="16110" w:type="dxa"/>
          </w:tcPr>
          <w:p>
            <w:pPr>
              <w:pStyle w:val="12"/>
              <w:spacing w:before="144"/>
              <w:ind w:left="105"/>
              <w:rPr>
                <w:sz w:val="21"/>
              </w:rPr>
            </w:pPr>
            <w:r>
              <w:rPr>
                <w:b/>
                <w:sz w:val="21"/>
              </w:rPr>
              <w:t xml:space="preserve">第二十六条 </w:t>
            </w:r>
            <w:r>
              <w:rPr>
                <w:sz w:val="21"/>
              </w:rPr>
              <w:t>已经在二十五度以上陡坡地种植农作物的，应当按照有关规定优先安排项目，逐步退耕还林育草。</w:t>
            </w:r>
          </w:p>
        </w:tc>
        <w:tc>
          <w:tcPr>
            <w:tcW w:w="2693" w:type="dxa"/>
          </w:tcPr>
          <w:p>
            <w:pPr>
              <w:pStyle w:val="12"/>
              <w:spacing w:before="5"/>
              <w:rPr>
                <w:b/>
                <w:sz w:val="18"/>
              </w:rPr>
            </w:pPr>
          </w:p>
          <w:p>
            <w:pPr>
              <w:pStyle w:val="12"/>
              <w:ind w:left="187"/>
              <w:rPr>
                <w:sz w:val="21"/>
              </w:rPr>
            </w:pPr>
            <w:r>
              <w:rPr>
                <w:sz w:val="21"/>
              </w:rPr>
              <w:t>《贵州省水土保持条例》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444" w:type="dxa"/>
            <w:vMerge w:val="continue"/>
            <w:tcBorders>
              <w:top w:val="nil"/>
              <w:bottom w:val="single" w:color="000000" w:sz="4" w:space="0"/>
            </w:tcBorders>
          </w:tcPr>
          <w:p>
            <w:pPr>
              <w:rPr>
                <w:sz w:val="2"/>
                <w:szCs w:val="2"/>
              </w:rPr>
            </w:pPr>
          </w:p>
        </w:tc>
        <w:tc>
          <w:tcPr>
            <w:tcW w:w="670" w:type="dxa"/>
            <w:vMerge w:val="restart"/>
            <w:tcBorders>
              <w:bottom w:val="single" w:color="000000" w:sz="4" w:space="0"/>
            </w:tcBorders>
          </w:tcPr>
          <w:p>
            <w:pPr>
              <w:pStyle w:val="12"/>
              <w:spacing w:before="158" w:line="213" w:lineRule="auto"/>
              <w:ind w:left="124" w:right="115"/>
              <w:jc w:val="both"/>
              <w:rPr>
                <w:sz w:val="21"/>
              </w:rPr>
            </w:pPr>
            <w:r>
              <w:rPr>
                <w:sz w:val="21"/>
              </w:rPr>
              <w:t>生物多样性维护重点区域</w:t>
            </w:r>
          </w:p>
        </w:tc>
        <w:tc>
          <w:tcPr>
            <w:tcW w:w="1882" w:type="dxa"/>
          </w:tcPr>
          <w:p>
            <w:pPr>
              <w:pStyle w:val="12"/>
              <w:rPr>
                <w:b/>
                <w:sz w:val="20"/>
              </w:rPr>
            </w:pPr>
          </w:p>
          <w:p>
            <w:pPr>
              <w:pStyle w:val="12"/>
              <w:spacing w:before="140" w:line="213" w:lineRule="auto"/>
              <w:ind w:left="107" w:right="293"/>
              <w:rPr>
                <w:sz w:val="21"/>
              </w:rPr>
            </w:pPr>
            <w:r>
              <w:rPr>
                <w:sz w:val="21"/>
              </w:rPr>
              <w:t>禁止开发建设活动的要求</w:t>
            </w:r>
          </w:p>
        </w:tc>
        <w:tc>
          <w:tcPr>
            <w:tcW w:w="16110" w:type="dxa"/>
          </w:tcPr>
          <w:p>
            <w:pPr>
              <w:pStyle w:val="12"/>
              <w:spacing w:line="244" w:lineRule="auto"/>
              <w:ind w:left="105" w:right="97"/>
              <w:rPr>
                <w:sz w:val="21"/>
              </w:rPr>
            </w:pPr>
            <w:r>
              <w:rPr>
                <w:spacing w:val="-8"/>
                <w:sz w:val="21"/>
              </w:rPr>
              <w:t>禁止滥捕滥采野生动植物资源，保持并恢复野生动植物物种和种群的平衡，实现野生动植物资源的良性循环和永续利用。加强防御外来物种入侵，保护自然生态系统与重要物</w:t>
            </w:r>
            <w:r>
              <w:rPr>
                <w:spacing w:val="-5"/>
                <w:sz w:val="21"/>
              </w:rPr>
              <w:t>种栖息地，防止生态建设导致生境的改变。</w:t>
            </w:r>
          </w:p>
          <w:p>
            <w:pPr>
              <w:pStyle w:val="12"/>
              <w:spacing w:line="231" w:lineRule="exact"/>
              <w:ind w:left="105"/>
              <w:rPr>
                <w:sz w:val="21"/>
              </w:rPr>
            </w:pPr>
            <w:r>
              <w:rPr>
                <w:sz w:val="21"/>
              </w:rPr>
              <w:t>禁止在生物多样性保护功能区引进外来物种。</w:t>
            </w:r>
          </w:p>
          <w:p>
            <w:pPr>
              <w:pStyle w:val="12"/>
              <w:spacing w:before="2" w:line="240" w:lineRule="exact"/>
              <w:ind w:left="105" w:right="98"/>
              <w:rPr>
                <w:sz w:val="21"/>
              </w:rPr>
            </w:pPr>
            <w:r>
              <w:rPr>
                <w:spacing w:val="-9"/>
                <w:sz w:val="21"/>
              </w:rPr>
              <w:t>保护自然生态系统与重要物种栖息地，禁止各种损害栖息地的经济社会活动和生态方式，如无序采矿、毁林开荒、湿地和草地开垦、道路建设等，防止生态建设导致栖息环境</w:t>
            </w:r>
            <w:r>
              <w:rPr>
                <w:spacing w:val="-6"/>
                <w:sz w:val="21"/>
              </w:rPr>
              <w:t>的改变。</w:t>
            </w:r>
          </w:p>
        </w:tc>
        <w:tc>
          <w:tcPr>
            <w:tcW w:w="2693" w:type="dxa"/>
            <w:vMerge w:val="restart"/>
          </w:tcPr>
          <w:p>
            <w:pPr>
              <w:pStyle w:val="12"/>
              <w:rPr>
                <w:b/>
                <w:sz w:val="20"/>
              </w:rPr>
            </w:pPr>
          </w:p>
          <w:p>
            <w:pPr>
              <w:pStyle w:val="12"/>
              <w:rPr>
                <w:b/>
                <w:sz w:val="20"/>
              </w:rPr>
            </w:pPr>
          </w:p>
          <w:p>
            <w:pPr>
              <w:pStyle w:val="12"/>
              <w:spacing w:before="9"/>
              <w:rPr>
                <w:b/>
                <w:sz w:val="18"/>
              </w:rPr>
            </w:pPr>
          </w:p>
          <w:p>
            <w:pPr>
              <w:pStyle w:val="12"/>
              <w:ind w:left="105"/>
              <w:rPr>
                <w:sz w:val="21"/>
              </w:rPr>
            </w:pPr>
            <w:r>
              <w:rPr>
                <w:sz w:val="21"/>
              </w:rPr>
              <w:t>《贵州省主体功能区规划》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1882" w:type="dxa"/>
            <w:tcBorders>
              <w:bottom w:val="single" w:color="000000" w:sz="4" w:space="0"/>
            </w:tcBorders>
          </w:tcPr>
          <w:p>
            <w:pPr>
              <w:pStyle w:val="12"/>
              <w:spacing w:line="232" w:lineRule="exact"/>
              <w:ind w:left="107"/>
              <w:rPr>
                <w:sz w:val="21"/>
              </w:rPr>
            </w:pPr>
            <w:r>
              <w:rPr>
                <w:sz w:val="21"/>
              </w:rPr>
              <w:t>允许开发建设活</w:t>
            </w:r>
          </w:p>
          <w:p>
            <w:pPr>
              <w:pStyle w:val="12"/>
              <w:spacing w:line="221" w:lineRule="exact"/>
              <w:ind w:left="107"/>
              <w:rPr>
                <w:sz w:val="21"/>
              </w:rPr>
            </w:pPr>
            <w:r>
              <w:rPr>
                <w:sz w:val="21"/>
              </w:rPr>
              <w:t>动的特殊要求</w:t>
            </w:r>
          </w:p>
        </w:tc>
        <w:tc>
          <w:tcPr>
            <w:tcW w:w="16110" w:type="dxa"/>
          </w:tcPr>
          <w:p>
            <w:pPr>
              <w:pStyle w:val="12"/>
              <w:spacing w:line="232" w:lineRule="exact"/>
              <w:ind w:left="105"/>
              <w:rPr>
                <w:sz w:val="21"/>
              </w:rPr>
            </w:pPr>
            <w:r>
              <w:rPr>
                <w:sz w:val="21"/>
              </w:rPr>
              <w:t>实施国家生物多样性保护重大工程，以生物多样性重要功能区为基础，完善自然保护区体系与保护区群的建设。</w:t>
            </w:r>
          </w:p>
          <w:p>
            <w:pPr>
              <w:pStyle w:val="12"/>
              <w:spacing w:line="221" w:lineRule="exact"/>
              <w:ind w:left="105"/>
              <w:rPr>
                <w:sz w:val="21"/>
              </w:rPr>
            </w:pPr>
            <w:r>
              <w:rPr>
                <w:sz w:val="21"/>
              </w:rPr>
              <w:t>加强重要生态保护区、 水源涵养区、 江河源头的保护， 开展内源污染整治， 推进生态脆弱河流和地区水生态修复。</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44" w:type="dxa"/>
            <w:vMerge w:val="continue"/>
            <w:tcBorders>
              <w:top w:val="nil"/>
              <w:bottom w:val="single" w:color="000000" w:sz="4" w:space="0"/>
            </w:tcBorders>
          </w:tcPr>
          <w:p>
            <w:pPr>
              <w:rPr>
                <w:sz w:val="2"/>
                <w:szCs w:val="2"/>
              </w:rPr>
            </w:pPr>
          </w:p>
        </w:tc>
        <w:tc>
          <w:tcPr>
            <w:tcW w:w="670" w:type="dxa"/>
            <w:vMerge w:val="restart"/>
            <w:tcBorders>
              <w:top w:val="single" w:color="000000" w:sz="4" w:space="0"/>
              <w:bottom w:val="nil"/>
            </w:tcBorders>
          </w:tcPr>
          <w:p>
            <w:pPr>
              <w:pStyle w:val="12"/>
              <w:rPr>
                <w:b/>
                <w:sz w:val="20"/>
              </w:rPr>
            </w:pPr>
          </w:p>
          <w:p>
            <w:pPr>
              <w:pStyle w:val="12"/>
              <w:rPr>
                <w:b/>
                <w:sz w:val="20"/>
              </w:rPr>
            </w:pPr>
          </w:p>
          <w:p>
            <w:pPr>
              <w:pStyle w:val="12"/>
              <w:spacing w:before="8"/>
              <w:rPr>
                <w:b/>
                <w:sz w:val="21"/>
              </w:rPr>
            </w:pPr>
          </w:p>
          <w:p>
            <w:pPr>
              <w:pStyle w:val="12"/>
              <w:spacing w:line="213" w:lineRule="auto"/>
              <w:ind w:left="107" w:right="132"/>
              <w:jc w:val="both"/>
              <w:rPr>
                <w:sz w:val="21"/>
              </w:rPr>
            </w:pPr>
            <w:r>
              <w:rPr>
                <w:sz w:val="21"/>
              </w:rPr>
              <w:t>水土流失重点区域</w:t>
            </w:r>
          </w:p>
        </w:tc>
        <w:tc>
          <w:tcPr>
            <w:tcW w:w="1882" w:type="dxa"/>
            <w:vMerge w:val="restart"/>
            <w:tcBorders>
              <w:top w:val="single" w:color="000000" w:sz="4" w:space="0"/>
            </w:tcBorders>
          </w:tcPr>
          <w:p>
            <w:pPr>
              <w:pStyle w:val="12"/>
              <w:spacing w:before="12"/>
              <w:rPr>
                <w:b/>
                <w:sz w:val="26"/>
              </w:rPr>
            </w:pPr>
          </w:p>
          <w:p>
            <w:pPr>
              <w:pStyle w:val="12"/>
              <w:spacing w:line="213" w:lineRule="auto"/>
              <w:ind w:left="107" w:right="293"/>
              <w:rPr>
                <w:sz w:val="21"/>
              </w:rPr>
            </w:pPr>
            <w:r>
              <w:rPr>
                <w:sz w:val="21"/>
              </w:rPr>
              <w:t>禁止开发建设活动的要求</w:t>
            </w:r>
          </w:p>
        </w:tc>
        <w:tc>
          <w:tcPr>
            <w:tcW w:w="16110" w:type="dxa"/>
            <w:tcBorders>
              <w:bottom w:val="single" w:color="000000" w:sz="4" w:space="0"/>
            </w:tcBorders>
          </w:tcPr>
          <w:p>
            <w:pPr>
              <w:pStyle w:val="12"/>
              <w:spacing w:before="69" w:line="213" w:lineRule="auto"/>
              <w:ind w:left="105" w:right="10950"/>
              <w:rPr>
                <w:sz w:val="21"/>
              </w:rPr>
            </w:pPr>
            <w:r>
              <w:rPr>
                <w:b/>
                <w:sz w:val="21"/>
              </w:rPr>
              <w:t>第二十条</w:t>
            </w:r>
            <w:r>
              <w:rPr>
                <w:sz w:val="21"/>
              </w:rPr>
              <w:t>禁止在二十五度以上陡坡地开垦种植农作物。</w:t>
            </w:r>
            <w:r>
              <w:rPr>
                <w:b/>
                <w:sz w:val="21"/>
              </w:rPr>
              <w:t>第十八条</w:t>
            </w:r>
            <w:r>
              <w:rPr>
                <w:sz w:val="21"/>
              </w:rPr>
              <w:t>禁止开垦、开发植物保护带。</w:t>
            </w:r>
          </w:p>
        </w:tc>
        <w:tc>
          <w:tcPr>
            <w:tcW w:w="2693" w:type="dxa"/>
            <w:tcBorders>
              <w:bottom w:val="single" w:color="000000" w:sz="4" w:space="0"/>
            </w:tcBorders>
          </w:tcPr>
          <w:p>
            <w:pPr>
              <w:pStyle w:val="12"/>
              <w:spacing w:before="3" w:line="300" w:lineRule="atLeast"/>
              <w:ind w:left="105" w:right="266"/>
              <w:rPr>
                <w:sz w:val="21"/>
              </w:rPr>
            </w:pPr>
            <w:r>
              <w:rPr>
                <w:sz w:val="21"/>
              </w:rPr>
              <w:t>《中华人民共和国水土保持法》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nil"/>
            </w:tcBorders>
          </w:tcPr>
          <w:p>
            <w:pPr>
              <w:rPr>
                <w:sz w:val="2"/>
                <w:szCs w:val="2"/>
              </w:rPr>
            </w:pPr>
          </w:p>
        </w:tc>
        <w:tc>
          <w:tcPr>
            <w:tcW w:w="1882" w:type="dxa"/>
            <w:vMerge w:val="continue"/>
            <w:tcBorders>
              <w:top w:val="nil"/>
            </w:tcBorders>
          </w:tcPr>
          <w:p>
            <w:pPr>
              <w:rPr>
                <w:sz w:val="2"/>
                <w:szCs w:val="2"/>
              </w:rPr>
            </w:pPr>
          </w:p>
        </w:tc>
        <w:tc>
          <w:tcPr>
            <w:tcW w:w="16110" w:type="dxa"/>
            <w:tcBorders>
              <w:top w:val="single" w:color="000000" w:sz="4" w:space="0"/>
            </w:tcBorders>
          </w:tcPr>
          <w:p>
            <w:pPr>
              <w:pStyle w:val="12"/>
              <w:spacing w:before="1"/>
              <w:ind w:left="105"/>
              <w:rPr>
                <w:sz w:val="21"/>
              </w:rPr>
            </w:pPr>
            <w:r>
              <w:rPr>
                <w:b/>
                <w:sz w:val="21"/>
              </w:rPr>
              <w:t xml:space="preserve">第十四条 </w:t>
            </w:r>
            <w:r>
              <w:rPr>
                <w:sz w:val="21"/>
              </w:rPr>
              <w:t>禁止在林地、山坡地滥取地表土。</w:t>
            </w:r>
          </w:p>
          <w:p>
            <w:pPr>
              <w:pStyle w:val="12"/>
              <w:spacing w:before="2" w:line="250" w:lineRule="exact"/>
              <w:ind w:left="105"/>
              <w:rPr>
                <w:sz w:val="21"/>
              </w:rPr>
            </w:pPr>
            <w:r>
              <w:rPr>
                <w:sz w:val="21"/>
              </w:rPr>
              <w:t>禁止在水土流失重点预防区和重点治理区铲草皮、挖树兜、挖砂、采石或者滥挖中药材、滥采观赏石材等。</w:t>
            </w:r>
          </w:p>
        </w:tc>
        <w:tc>
          <w:tcPr>
            <w:tcW w:w="2693" w:type="dxa"/>
            <w:tcBorders>
              <w:top w:val="single" w:color="000000" w:sz="4" w:space="0"/>
            </w:tcBorders>
          </w:tcPr>
          <w:p>
            <w:pPr>
              <w:pStyle w:val="12"/>
              <w:spacing w:before="152"/>
              <w:ind w:left="187"/>
              <w:rPr>
                <w:sz w:val="21"/>
              </w:rPr>
            </w:pPr>
            <w:r>
              <w:rPr>
                <w:sz w:val="21"/>
              </w:rPr>
              <w:t>《贵州省水土保持条例》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nil"/>
            </w:tcBorders>
          </w:tcPr>
          <w:p>
            <w:pPr>
              <w:rPr>
                <w:sz w:val="2"/>
                <w:szCs w:val="2"/>
              </w:rPr>
            </w:pPr>
          </w:p>
        </w:tc>
        <w:tc>
          <w:tcPr>
            <w:tcW w:w="1882" w:type="dxa"/>
            <w:tcBorders>
              <w:bottom w:val="nil"/>
            </w:tcBorders>
          </w:tcPr>
          <w:p>
            <w:pPr>
              <w:pStyle w:val="12"/>
              <w:rPr>
                <w:b/>
                <w:sz w:val="20"/>
              </w:rPr>
            </w:pPr>
          </w:p>
          <w:p>
            <w:pPr>
              <w:pStyle w:val="12"/>
              <w:spacing w:before="6"/>
              <w:rPr>
                <w:b/>
                <w:sz w:val="14"/>
              </w:rPr>
            </w:pPr>
          </w:p>
          <w:p>
            <w:pPr>
              <w:pStyle w:val="12"/>
              <w:spacing w:line="213" w:lineRule="auto"/>
              <w:ind w:left="107" w:right="293"/>
              <w:rPr>
                <w:sz w:val="21"/>
              </w:rPr>
            </w:pPr>
            <w:r>
              <w:rPr>
                <w:sz w:val="21"/>
              </w:rPr>
              <w:t>限制开发建设活动的要求</w:t>
            </w:r>
          </w:p>
        </w:tc>
        <w:tc>
          <w:tcPr>
            <w:tcW w:w="16110" w:type="dxa"/>
            <w:tcBorders>
              <w:bottom w:val="nil"/>
            </w:tcBorders>
          </w:tcPr>
          <w:p>
            <w:pPr>
              <w:pStyle w:val="12"/>
              <w:spacing w:line="242" w:lineRule="auto"/>
              <w:ind w:left="105" w:right="1179"/>
              <w:rPr>
                <w:sz w:val="21"/>
              </w:rPr>
            </w:pPr>
            <w:r>
              <w:rPr>
                <w:b/>
                <w:sz w:val="21"/>
              </w:rPr>
              <w:t xml:space="preserve">第十三条 </w:t>
            </w:r>
            <w:r>
              <w:rPr>
                <w:sz w:val="21"/>
              </w:rPr>
              <w:t>在二十五度以上陡坡地种植经济林的，应当科学选择树种，加强抚育管理，采取鱼鳞坑、水平阶等整地方式和蓄水、引水、排水等措施防止水土流失。</w:t>
            </w:r>
            <w:r>
              <w:rPr>
                <w:b/>
                <w:sz w:val="21"/>
              </w:rPr>
              <w:t xml:space="preserve">第十五条 </w:t>
            </w:r>
            <w:r>
              <w:rPr>
                <w:sz w:val="21"/>
              </w:rPr>
              <w:t>在五度以上坡地植树造林，种植经济作物、中药材等，可以采取等高、带状等有利于保持水土的种植方式，并布设水平沟、排水沟等水土保持措施。</w:t>
            </w:r>
          </w:p>
          <w:p>
            <w:pPr>
              <w:pStyle w:val="12"/>
              <w:ind w:left="105"/>
              <w:rPr>
                <w:sz w:val="21"/>
              </w:rPr>
            </w:pPr>
            <w:r>
              <w:rPr>
                <w:b/>
                <w:sz w:val="21"/>
              </w:rPr>
              <w:t xml:space="preserve">第十七条 </w:t>
            </w:r>
            <w:r>
              <w:rPr>
                <w:sz w:val="21"/>
              </w:rPr>
              <w:t>在山区、丘陵区以及水土保持规划确定的容易发生水土流失的其他区域开办可能造成水土流失的生产建设项目，生产建设单位应当编制水土保持方案，报县级以上</w:t>
            </w:r>
          </w:p>
          <w:p>
            <w:pPr>
              <w:pStyle w:val="12"/>
              <w:spacing w:before="2" w:line="246" w:lineRule="exact"/>
              <w:ind w:left="105"/>
              <w:rPr>
                <w:sz w:val="21"/>
              </w:rPr>
            </w:pPr>
            <w:r>
              <w:rPr>
                <w:sz w:val="21"/>
              </w:rPr>
              <w:t>人民政府水行政主管部门审批。</w:t>
            </w:r>
          </w:p>
        </w:tc>
        <w:tc>
          <w:tcPr>
            <w:tcW w:w="2693" w:type="dxa"/>
            <w:tcBorders>
              <w:bottom w:val="nil"/>
            </w:tcBorders>
          </w:tcPr>
          <w:p>
            <w:pPr>
              <w:pStyle w:val="12"/>
              <w:rPr>
                <w:b/>
                <w:sz w:val="20"/>
              </w:rPr>
            </w:pPr>
          </w:p>
          <w:p>
            <w:pPr>
              <w:pStyle w:val="12"/>
              <w:spacing w:before="6"/>
              <w:rPr>
                <w:b/>
                <w:sz w:val="23"/>
              </w:rPr>
            </w:pPr>
          </w:p>
          <w:p>
            <w:pPr>
              <w:pStyle w:val="12"/>
              <w:spacing w:before="1"/>
              <w:ind w:left="105"/>
              <w:rPr>
                <w:sz w:val="21"/>
              </w:rPr>
            </w:pPr>
            <w:r>
              <w:rPr>
                <w:sz w:val="21"/>
              </w:rPr>
              <w:t>《贵州省水土保持条例》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44" w:type="dxa"/>
            <w:vMerge w:val="continue"/>
            <w:tcBorders>
              <w:top w:val="nil"/>
              <w:bottom w:val="single" w:color="000000" w:sz="4" w:space="0"/>
            </w:tcBorders>
          </w:tcPr>
          <w:p>
            <w:pPr>
              <w:rPr>
                <w:sz w:val="2"/>
                <w:szCs w:val="2"/>
              </w:rPr>
            </w:pPr>
          </w:p>
        </w:tc>
        <w:tc>
          <w:tcPr>
            <w:tcW w:w="670" w:type="dxa"/>
            <w:tcBorders>
              <w:top w:val="nil"/>
              <w:bottom w:val="single" w:color="000000" w:sz="4" w:space="0"/>
            </w:tcBorders>
          </w:tcPr>
          <w:p>
            <w:pPr>
              <w:pStyle w:val="12"/>
              <w:rPr>
                <w:rFonts w:ascii="Times New Roman"/>
                <w:sz w:val="18"/>
              </w:rPr>
            </w:pPr>
          </w:p>
        </w:tc>
        <w:tc>
          <w:tcPr>
            <w:tcW w:w="1882" w:type="dxa"/>
            <w:tcBorders>
              <w:top w:val="nil"/>
            </w:tcBorders>
          </w:tcPr>
          <w:p>
            <w:pPr>
              <w:pStyle w:val="12"/>
              <w:rPr>
                <w:rFonts w:ascii="Times New Roman"/>
                <w:sz w:val="18"/>
              </w:rPr>
            </w:pPr>
          </w:p>
        </w:tc>
        <w:tc>
          <w:tcPr>
            <w:tcW w:w="16110" w:type="dxa"/>
            <w:tcBorders>
              <w:top w:val="nil"/>
            </w:tcBorders>
          </w:tcPr>
          <w:p>
            <w:pPr>
              <w:pStyle w:val="12"/>
              <w:spacing w:line="245" w:lineRule="exact"/>
              <w:ind w:left="105"/>
              <w:rPr>
                <w:sz w:val="21"/>
              </w:rPr>
            </w:pPr>
            <w:r>
              <w:rPr>
                <w:b/>
                <w:sz w:val="21"/>
              </w:rPr>
              <w:t xml:space="preserve">第二十一条 </w:t>
            </w:r>
            <w:r>
              <w:rPr>
                <w:sz w:val="21"/>
              </w:rPr>
              <w:t>在城镇范围内设置弃渣场或者开办取土场、采石场等项目，应当实行严格的监督管理和水土保持方案制度。</w:t>
            </w:r>
          </w:p>
        </w:tc>
        <w:tc>
          <w:tcPr>
            <w:tcW w:w="2693" w:type="dxa"/>
            <w:tcBorders>
              <w:top w:val="nil"/>
            </w:tcBorders>
          </w:tcPr>
          <w:p>
            <w:pPr>
              <w:pStyle w:val="12"/>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444" w:type="dxa"/>
            <w:vMerge w:val="continue"/>
            <w:tcBorders>
              <w:top w:val="nil"/>
              <w:bottom w:val="single" w:color="000000" w:sz="4" w:space="0"/>
            </w:tcBorders>
          </w:tcPr>
          <w:p>
            <w:pPr>
              <w:rPr>
                <w:sz w:val="2"/>
                <w:szCs w:val="2"/>
              </w:rPr>
            </w:pPr>
          </w:p>
        </w:tc>
        <w:tc>
          <w:tcPr>
            <w:tcW w:w="670" w:type="dxa"/>
            <w:vMerge w:val="restart"/>
            <w:tcBorders>
              <w:top w:val="single" w:color="000000" w:sz="4" w:space="0"/>
              <w:bottom w:val="single" w:color="000000" w:sz="4" w:space="0"/>
            </w:tcBorders>
          </w:tcPr>
          <w:p>
            <w:pPr>
              <w:pStyle w:val="12"/>
              <w:spacing w:before="2"/>
              <w:rPr>
                <w:b/>
                <w:sz w:val="27"/>
              </w:rPr>
            </w:pPr>
          </w:p>
          <w:p>
            <w:pPr>
              <w:pStyle w:val="12"/>
              <w:spacing w:line="213" w:lineRule="auto"/>
              <w:ind w:left="107" w:right="132"/>
              <w:jc w:val="both"/>
              <w:rPr>
                <w:sz w:val="21"/>
              </w:rPr>
            </w:pPr>
            <w:r>
              <w:rPr>
                <w:sz w:val="21"/>
              </w:rPr>
              <w:t>石漠化重点区域</w:t>
            </w:r>
          </w:p>
        </w:tc>
        <w:tc>
          <w:tcPr>
            <w:tcW w:w="1882" w:type="dxa"/>
          </w:tcPr>
          <w:p>
            <w:pPr>
              <w:pStyle w:val="12"/>
              <w:spacing w:before="2" w:line="240" w:lineRule="exact"/>
              <w:ind w:left="107" w:right="293"/>
              <w:rPr>
                <w:sz w:val="21"/>
              </w:rPr>
            </w:pPr>
            <w:r>
              <w:rPr>
                <w:sz w:val="21"/>
              </w:rPr>
              <w:t>禁止开发建设活动的要求</w:t>
            </w:r>
          </w:p>
        </w:tc>
        <w:tc>
          <w:tcPr>
            <w:tcW w:w="16110" w:type="dxa"/>
          </w:tcPr>
          <w:p>
            <w:pPr>
              <w:pStyle w:val="12"/>
              <w:spacing w:before="104"/>
              <w:ind w:left="105"/>
              <w:rPr>
                <w:sz w:val="21"/>
              </w:rPr>
            </w:pPr>
            <w:r>
              <w:rPr>
                <w:sz w:val="21"/>
              </w:rPr>
              <w:t>在乌江、南北盘江、沅江流域上游重点水源涵养区，严格管制各类生产建设活动。</w:t>
            </w:r>
          </w:p>
        </w:tc>
        <w:tc>
          <w:tcPr>
            <w:tcW w:w="2693" w:type="dxa"/>
            <w:vMerge w:val="restart"/>
          </w:tcPr>
          <w:p>
            <w:pPr>
              <w:pStyle w:val="12"/>
              <w:rPr>
                <w:b/>
                <w:sz w:val="20"/>
              </w:rPr>
            </w:pPr>
          </w:p>
          <w:p>
            <w:pPr>
              <w:pStyle w:val="12"/>
              <w:rPr>
                <w:b/>
                <w:sz w:val="20"/>
              </w:rPr>
            </w:pPr>
          </w:p>
          <w:p>
            <w:pPr>
              <w:pStyle w:val="12"/>
              <w:spacing w:before="10"/>
              <w:rPr>
                <w:b/>
                <w:sz w:val="14"/>
              </w:rPr>
            </w:pPr>
          </w:p>
          <w:p>
            <w:pPr>
              <w:pStyle w:val="12"/>
              <w:ind w:left="105"/>
              <w:rPr>
                <w:sz w:val="21"/>
              </w:rPr>
            </w:pPr>
            <w:r>
              <w:rPr>
                <w:sz w:val="21"/>
              </w:rPr>
              <w:t>《贵州省主体功能区规划》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1882" w:type="dxa"/>
          </w:tcPr>
          <w:p>
            <w:pPr>
              <w:pStyle w:val="12"/>
              <w:spacing w:line="240" w:lineRule="exact"/>
              <w:ind w:left="107" w:right="293"/>
              <w:rPr>
                <w:sz w:val="21"/>
              </w:rPr>
            </w:pPr>
            <w:r>
              <w:rPr>
                <w:sz w:val="21"/>
              </w:rPr>
              <w:t>限制开发建设活动的要求</w:t>
            </w:r>
          </w:p>
        </w:tc>
        <w:tc>
          <w:tcPr>
            <w:tcW w:w="16110" w:type="dxa"/>
          </w:tcPr>
          <w:p>
            <w:pPr>
              <w:pStyle w:val="12"/>
              <w:spacing w:line="240" w:lineRule="exact"/>
              <w:ind w:left="105" w:right="98"/>
              <w:rPr>
                <w:sz w:val="21"/>
              </w:rPr>
            </w:pPr>
            <w:r>
              <w:rPr>
                <w:spacing w:val="-9"/>
                <w:sz w:val="21"/>
              </w:rPr>
              <w:t>限制陡坡垦殖和超载放牧，加强小流域综合治理，实行封山禁牧，恢复退化植被。加强对能源和矿产资源开发及建设项目的监管，加大矿山环境整治修复力度，最大限度地减</w:t>
            </w:r>
            <w:r>
              <w:rPr>
                <w:spacing w:val="-5"/>
                <w:sz w:val="21"/>
              </w:rPr>
              <w:t>少人为因素造成新的水土流失。对采伐区和集材道应当采取防止水土流失的措施，采伐后及时更新造林。</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1882" w:type="dxa"/>
          </w:tcPr>
          <w:p>
            <w:pPr>
              <w:pStyle w:val="12"/>
              <w:spacing w:before="96" w:line="213" w:lineRule="auto"/>
              <w:ind w:left="107" w:right="293"/>
              <w:rPr>
                <w:sz w:val="21"/>
              </w:rPr>
            </w:pPr>
            <w:r>
              <w:rPr>
                <w:sz w:val="21"/>
              </w:rPr>
              <w:t>允许开发建设活动的特殊要求</w:t>
            </w:r>
          </w:p>
        </w:tc>
        <w:tc>
          <w:tcPr>
            <w:tcW w:w="16110" w:type="dxa"/>
          </w:tcPr>
          <w:p>
            <w:pPr>
              <w:pStyle w:val="12"/>
              <w:spacing w:before="61" w:line="242" w:lineRule="auto"/>
              <w:ind w:left="105" w:right="97"/>
              <w:rPr>
                <w:sz w:val="21"/>
              </w:rPr>
            </w:pPr>
            <w:r>
              <w:rPr>
                <w:spacing w:val="-9"/>
                <w:sz w:val="21"/>
              </w:rPr>
              <w:t>实行封山育林育草、植树造林、退耕还林还草和种草养畜，推进石漠化防治工程和小流域综合治理，恢复退化植被，实行生态移民，改变耕作方式。解决农民长远生计，巩固</w:t>
            </w:r>
            <w:r>
              <w:rPr>
                <w:spacing w:val="-5"/>
                <w:sz w:val="21"/>
              </w:rPr>
              <w:t>石漠化治理成果。</w:t>
            </w:r>
          </w:p>
        </w:tc>
        <w:tc>
          <w:tcPr>
            <w:tcW w:w="2693" w:type="dxa"/>
            <w:vMerge w:val="continue"/>
            <w:tcBorders>
              <w:top w:val="nil"/>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670"/>
        <w:gridCol w:w="718"/>
        <w:gridCol w:w="1164"/>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14" w:type="dxa"/>
            <w:gridSpan w:val="2"/>
            <w:tcBorders>
              <w:bottom w:val="single" w:color="000000" w:sz="4" w:space="0"/>
            </w:tcBorders>
          </w:tcPr>
          <w:p>
            <w:pPr>
              <w:pStyle w:val="12"/>
              <w:spacing w:before="154"/>
              <w:ind w:left="345"/>
              <w:rPr>
                <w:b/>
                <w:sz w:val="21"/>
              </w:rPr>
            </w:pPr>
            <w:r>
              <w:rPr>
                <w:b/>
                <w:sz w:val="21"/>
              </w:rPr>
              <w:t>属性</w:t>
            </w:r>
          </w:p>
        </w:tc>
        <w:tc>
          <w:tcPr>
            <w:tcW w:w="1882" w:type="dxa"/>
            <w:gridSpan w:val="2"/>
          </w:tcPr>
          <w:p>
            <w:pPr>
              <w:pStyle w:val="12"/>
              <w:spacing w:before="150"/>
              <w:ind w:left="707" w:right="707"/>
              <w:jc w:val="center"/>
              <w:rPr>
                <w:b/>
                <w:sz w:val="21"/>
              </w:rPr>
            </w:pPr>
            <w:r>
              <w:rPr>
                <w:b/>
                <w:sz w:val="21"/>
              </w:rPr>
              <w:t>管控</w:t>
            </w:r>
          </w:p>
        </w:tc>
        <w:tc>
          <w:tcPr>
            <w:tcW w:w="16110" w:type="dxa"/>
          </w:tcPr>
          <w:p>
            <w:pPr>
              <w:pStyle w:val="12"/>
              <w:spacing w:before="162"/>
              <w:ind w:left="7400" w:right="7400"/>
              <w:jc w:val="center"/>
              <w:rPr>
                <w:b/>
                <w:sz w:val="21"/>
              </w:rPr>
            </w:pPr>
            <w:r>
              <w:rPr>
                <w:b/>
                <w:sz w:val="21"/>
              </w:rPr>
              <w:t>管控要求</w:t>
            </w:r>
          </w:p>
        </w:tc>
        <w:tc>
          <w:tcPr>
            <w:tcW w:w="2693" w:type="dxa"/>
          </w:tcPr>
          <w:p>
            <w:pPr>
              <w:pStyle w:val="12"/>
              <w:spacing w:before="162"/>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444"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35" w:line="213" w:lineRule="auto"/>
              <w:ind w:left="107" w:right="117"/>
              <w:jc w:val="both"/>
              <w:rPr>
                <w:sz w:val="21"/>
              </w:rPr>
            </w:pPr>
            <w:r>
              <w:rPr>
                <w:sz w:val="21"/>
              </w:rPr>
              <w:t>自然保护地</w:t>
            </w:r>
          </w:p>
        </w:tc>
        <w:tc>
          <w:tcPr>
            <w:tcW w:w="670"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1" w:line="213" w:lineRule="auto"/>
              <w:ind w:left="107" w:right="132"/>
              <w:jc w:val="both"/>
              <w:rPr>
                <w:sz w:val="21"/>
              </w:rPr>
            </w:pPr>
            <w:r>
              <w:rPr>
                <w:sz w:val="21"/>
              </w:rPr>
              <w:t>自然保护区</w:t>
            </w:r>
          </w:p>
        </w:tc>
        <w:tc>
          <w:tcPr>
            <w:tcW w:w="718" w:type="dxa"/>
            <w:vMerge w:val="restart"/>
            <w:tcBorders>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6"/>
              <w:rPr>
                <w:b/>
              </w:rPr>
            </w:pPr>
          </w:p>
          <w:p>
            <w:pPr>
              <w:pStyle w:val="12"/>
              <w:spacing w:line="213" w:lineRule="auto"/>
              <w:ind w:left="107" w:right="178"/>
              <w:jc w:val="both"/>
              <w:rPr>
                <w:sz w:val="21"/>
              </w:rPr>
            </w:pPr>
            <w:r>
              <w:rPr>
                <w:sz w:val="21"/>
              </w:rPr>
              <w:t>国家级管控要求</w:t>
            </w:r>
          </w:p>
        </w:tc>
        <w:tc>
          <w:tcPr>
            <w:tcW w:w="1164" w:type="dxa"/>
            <w:tcBorders>
              <w:left w:val="single" w:color="000000" w:sz="4" w:space="0"/>
              <w:bottom w:val="single" w:color="000000" w:sz="4" w:space="0"/>
            </w:tcBorders>
          </w:tcPr>
          <w:p>
            <w:pPr>
              <w:pStyle w:val="12"/>
              <w:rPr>
                <w:b/>
                <w:sz w:val="20"/>
              </w:rPr>
            </w:pPr>
          </w:p>
          <w:p>
            <w:pPr>
              <w:pStyle w:val="12"/>
              <w:spacing w:before="5"/>
              <w:rPr>
                <w:b/>
                <w:sz w:val="29"/>
              </w:rPr>
            </w:pPr>
          </w:p>
          <w:p>
            <w:pPr>
              <w:pStyle w:val="12"/>
              <w:spacing w:before="1" w:line="213" w:lineRule="auto"/>
              <w:ind w:left="155" w:right="156"/>
              <w:jc w:val="both"/>
              <w:rPr>
                <w:sz w:val="21"/>
              </w:rPr>
            </w:pPr>
            <w:r>
              <w:rPr>
                <w:sz w:val="21"/>
              </w:rPr>
              <w:t>禁止开发建设活动的要求</w:t>
            </w:r>
          </w:p>
        </w:tc>
        <w:tc>
          <w:tcPr>
            <w:tcW w:w="16110" w:type="dxa"/>
            <w:tcBorders>
              <w:bottom w:val="single" w:color="000000" w:sz="4" w:space="0"/>
            </w:tcBorders>
          </w:tcPr>
          <w:p>
            <w:pPr>
              <w:pStyle w:val="12"/>
              <w:spacing w:before="3"/>
              <w:rPr>
                <w:b/>
                <w:sz w:val="24"/>
              </w:rPr>
            </w:pPr>
          </w:p>
          <w:p>
            <w:pPr>
              <w:pStyle w:val="12"/>
              <w:spacing w:line="242" w:lineRule="auto"/>
              <w:ind w:left="105" w:right="1963"/>
              <w:rPr>
                <w:sz w:val="21"/>
              </w:rPr>
            </w:pPr>
            <w:r>
              <w:rPr>
                <w:b/>
                <w:sz w:val="21"/>
              </w:rPr>
              <w:t xml:space="preserve">第二十六条 </w:t>
            </w:r>
            <w:r>
              <w:rPr>
                <w:sz w:val="21"/>
              </w:rPr>
              <w:t>禁止在自然保护区内进行砍伐、放牧、狩猎、捕捞、采药、开垦、烧荒、开矿、采石、挖沙等活动</w:t>
            </w:r>
            <w:r>
              <w:rPr>
                <w:rFonts w:ascii="Calibri" w:eastAsia="Calibri"/>
                <w:sz w:val="21"/>
              </w:rPr>
              <w:t>;</w:t>
            </w:r>
            <w:r>
              <w:rPr>
                <w:sz w:val="21"/>
              </w:rPr>
              <w:t>但是，法律、行政法规另有规定的除外。</w:t>
            </w:r>
            <w:r>
              <w:rPr>
                <w:b/>
                <w:sz w:val="21"/>
              </w:rPr>
              <w:t xml:space="preserve">第二十九条 </w:t>
            </w:r>
            <w:r>
              <w:rPr>
                <w:sz w:val="21"/>
              </w:rPr>
              <w:t>严禁开设与自然保护区保护方向不一致的参观、旅游项目。</w:t>
            </w:r>
          </w:p>
          <w:p>
            <w:pPr>
              <w:pStyle w:val="12"/>
              <w:spacing w:before="1"/>
              <w:ind w:left="105"/>
              <w:rPr>
                <w:sz w:val="21"/>
              </w:rPr>
            </w:pPr>
            <w:r>
              <w:rPr>
                <w:b/>
                <w:sz w:val="21"/>
              </w:rPr>
              <w:t xml:space="preserve">第二十七条 </w:t>
            </w:r>
            <w:r>
              <w:rPr>
                <w:sz w:val="21"/>
              </w:rPr>
              <w:t>禁止任何人进入自然保护区的核心区。</w:t>
            </w:r>
          </w:p>
          <w:p>
            <w:pPr>
              <w:pStyle w:val="12"/>
              <w:spacing w:before="2"/>
              <w:ind w:left="105"/>
              <w:rPr>
                <w:sz w:val="21"/>
              </w:rPr>
            </w:pPr>
            <w:r>
              <w:rPr>
                <w:b/>
                <w:sz w:val="21"/>
              </w:rPr>
              <w:t xml:space="preserve">第二十八条 </w:t>
            </w:r>
            <w:r>
              <w:rPr>
                <w:sz w:val="21"/>
              </w:rPr>
              <w:t>禁止在自然保护区的缓冲区开展旅游和生产经营活动。</w:t>
            </w:r>
          </w:p>
          <w:p>
            <w:pPr>
              <w:pStyle w:val="12"/>
              <w:spacing w:before="5"/>
              <w:ind w:left="105"/>
              <w:rPr>
                <w:sz w:val="21"/>
              </w:rPr>
            </w:pPr>
            <w:r>
              <w:rPr>
                <w:b/>
                <w:sz w:val="21"/>
              </w:rPr>
              <w:t xml:space="preserve">第三十二条 </w:t>
            </w:r>
            <w:r>
              <w:rPr>
                <w:sz w:val="21"/>
              </w:rPr>
              <w:t>在自然保护区的核心区和缓冲区内，不得建设任何生产设施。</w:t>
            </w:r>
          </w:p>
        </w:tc>
        <w:tc>
          <w:tcPr>
            <w:tcW w:w="2693"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9" w:line="266" w:lineRule="auto"/>
              <w:ind w:left="105" w:right="103"/>
              <w:rPr>
                <w:sz w:val="21"/>
              </w:rPr>
            </w:pPr>
            <w:r>
              <w:rPr>
                <w:sz w:val="21"/>
              </w:rPr>
              <w:t>《中华人民共和国自然保护区条例》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8"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18"/>
              </w:rPr>
            </w:pPr>
          </w:p>
          <w:p>
            <w:pPr>
              <w:pStyle w:val="12"/>
              <w:spacing w:before="1" w:line="213" w:lineRule="auto"/>
              <w:ind w:left="155" w:right="156"/>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3"/>
              <w:rPr>
                <w:b/>
                <w:sz w:val="20"/>
              </w:rPr>
            </w:pPr>
          </w:p>
          <w:p>
            <w:pPr>
              <w:pStyle w:val="12"/>
              <w:spacing w:before="1" w:line="244" w:lineRule="auto"/>
              <w:ind w:left="105" w:right="-15"/>
              <w:rPr>
                <w:sz w:val="21"/>
              </w:rPr>
            </w:pPr>
            <w:r>
              <w:rPr>
                <w:b/>
                <w:spacing w:val="-2"/>
                <w:sz w:val="21"/>
              </w:rPr>
              <w:t xml:space="preserve">第二十七条 </w:t>
            </w:r>
            <w:r>
              <w:rPr>
                <w:spacing w:val="-8"/>
                <w:sz w:val="21"/>
              </w:rPr>
              <w:t>因科学研究的需要，必须进入核心区从事科学研究观测、调查活动的，应当事先向自然保护区管理机构提交申请和活动计划，并经自然保护区管理机构批准</w:t>
            </w:r>
            <w:r>
              <w:rPr>
                <w:rFonts w:ascii="Calibri" w:eastAsia="Calibri"/>
                <w:sz w:val="21"/>
              </w:rPr>
              <w:t>;</w:t>
            </w:r>
            <w:r>
              <w:rPr>
                <w:sz w:val="21"/>
              </w:rPr>
              <w:t xml:space="preserve">其中， </w:t>
            </w:r>
            <w:r>
              <w:rPr>
                <w:spacing w:val="-3"/>
                <w:sz w:val="21"/>
              </w:rPr>
              <w:t>进入国家级自然保护区核心区的，应当经省、自治区、直辖市人民政府有关自然保护区行政主管部门批准。</w:t>
            </w:r>
          </w:p>
          <w:p>
            <w:pPr>
              <w:pStyle w:val="12"/>
              <w:spacing w:line="244" w:lineRule="auto"/>
              <w:ind w:left="105" w:right="-15"/>
              <w:rPr>
                <w:sz w:val="21"/>
              </w:rPr>
            </w:pPr>
            <w:r>
              <w:rPr>
                <w:b/>
                <w:spacing w:val="-2"/>
                <w:sz w:val="21"/>
              </w:rPr>
              <w:t xml:space="preserve">第二十八条 </w:t>
            </w:r>
            <w:r>
              <w:rPr>
                <w:spacing w:val="-5"/>
                <w:sz w:val="21"/>
              </w:rPr>
              <w:t xml:space="preserve">因教学科研的目的，需要进入自然保护区的缓冲区从事非破坏性的科学研究、教学实习和标本采集活动的，应当事先向自然保护区管理机构提交申请和活动计划， </w:t>
            </w:r>
            <w:r>
              <w:rPr>
                <w:spacing w:val="-4"/>
                <w:sz w:val="21"/>
              </w:rPr>
              <w:t>经自然保护区管理机构批准。</w:t>
            </w:r>
          </w:p>
          <w:p>
            <w:pPr>
              <w:pStyle w:val="12"/>
              <w:spacing w:line="244" w:lineRule="auto"/>
              <w:ind w:left="105" w:right="3595"/>
              <w:rPr>
                <w:sz w:val="21"/>
              </w:rPr>
            </w:pPr>
            <w:r>
              <w:rPr>
                <w:b/>
                <w:sz w:val="21"/>
              </w:rPr>
              <w:t>第十八条</w:t>
            </w:r>
            <w:r>
              <w:rPr>
                <w:sz w:val="21"/>
              </w:rPr>
              <w:t>缓冲区外围划为实验区，可以进入从事科学试验、教学实习、参观考察、旅游以及驯化、繁殖珍稀、濒危野生动植物等活动。</w:t>
            </w:r>
            <w:r>
              <w:rPr>
                <w:b/>
                <w:sz w:val="21"/>
              </w:rPr>
              <w:t xml:space="preserve">第二十九条 </w:t>
            </w:r>
            <w:r>
              <w:rPr>
                <w:sz w:val="21"/>
              </w:rPr>
              <w:t>在自然保护区的实验区内开展参观、旅游活动的，由自然保护区管理机构编制方案，方案应当符合自然保护区管理目标。</w:t>
            </w:r>
          </w:p>
          <w:p>
            <w:pPr>
              <w:pStyle w:val="12"/>
              <w:spacing w:line="244" w:lineRule="auto"/>
              <w:ind w:left="105" w:right="81"/>
              <w:rPr>
                <w:sz w:val="21"/>
              </w:rPr>
            </w:pPr>
            <w:r>
              <w:rPr>
                <w:b/>
                <w:sz w:val="21"/>
              </w:rPr>
              <w:t xml:space="preserve">第三十一条 </w:t>
            </w:r>
            <w:r>
              <w:rPr>
                <w:sz w:val="21"/>
              </w:rPr>
              <w:t>外国人进入自然保护区，应当事先向自然保护区管理机构提交活动计划，并经自然保护区管理机构批准</w:t>
            </w:r>
            <w:r>
              <w:rPr>
                <w:rFonts w:ascii="Calibri" w:eastAsia="Calibri"/>
                <w:sz w:val="21"/>
              </w:rPr>
              <w:t>;</w:t>
            </w:r>
            <w:r>
              <w:rPr>
                <w:sz w:val="21"/>
              </w:rPr>
              <w:t>其中，进入国家级自然保护区的，应当经省、自治区、直辖市环境保护、海洋、渔业等有关自然保护区行政主管部门按照各自职责批准。</w:t>
            </w:r>
          </w:p>
          <w:p>
            <w:pPr>
              <w:pStyle w:val="12"/>
              <w:spacing w:line="265" w:lineRule="exact"/>
              <w:ind w:left="105"/>
              <w:rPr>
                <w:sz w:val="21"/>
              </w:rPr>
            </w:pPr>
            <w:r>
              <w:rPr>
                <w:b/>
                <w:sz w:val="21"/>
              </w:rPr>
              <w:t>第三十二条</w:t>
            </w:r>
            <w:r>
              <w:rPr>
                <w:sz w:val="21"/>
              </w:rPr>
              <w:t>在自然保护区的外围保护地带建设的项目，不得损害自然保护区内的环境质量</w:t>
            </w:r>
            <w:r>
              <w:rPr>
                <w:rFonts w:ascii="Calibri" w:eastAsia="Calibri"/>
                <w:sz w:val="21"/>
              </w:rPr>
              <w:t>;</w:t>
            </w:r>
            <w:r>
              <w:rPr>
                <w:sz w:val="21"/>
              </w:rPr>
              <w:t>已造成损害的，应当限期治理。</w:t>
            </w:r>
          </w:p>
        </w:tc>
        <w:tc>
          <w:tcPr>
            <w:tcW w:w="2693"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rPr>
                <w:b/>
                <w:sz w:val="20"/>
              </w:rPr>
            </w:pPr>
          </w:p>
          <w:p>
            <w:pPr>
              <w:pStyle w:val="12"/>
              <w:spacing w:before="152" w:line="213" w:lineRule="auto"/>
              <w:ind w:left="105" w:right="184"/>
              <w:rPr>
                <w:sz w:val="21"/>
              </w:rPr>
            </w:pPr>
            <w:r>
              <w:rPr>
                <w:b/>
                <w:spacing w:val="-1"/>
                <w:sz w:val="21"/>
              </w:rPr>
              <w:t xml:space="preserve">第二十二条 </w:t>
            </w:r>
            <w:r>
              <w:rPr>
                <w:spacing w:val="-3"/>
                <w:sz w:val="21"/>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tc>
        <w:tc>
          <w:tcPr>
            <w:tcW w:w="2693" w:type="dxa"/>
            <w:tcBorders>
              <w:top w:val="single" w:color="000000" w:sz="4" w:space="0"/>
              <w:bottom w:val="single" w:color="000000" w:sz="4" w:space="0"/>
            </w:tcBorders>
          </w:tcPr>
          <w:p>
            <w:pPr>
              <w:pStyle w:val="12"/>
              <w:spacing w:before="1"/>
              <w:rPr>
                <w:b/>
                <w:sz w:val="29"/>
              </w:rPr>
            </w:pPr>
          </w:p>
          <w:p>
            <w:pPr>
              <w:pStyle w:val="12"/>
              <w:spacing w:line="266" w:lineRule="auto"/>
              <w:ind w:left="105" w:right="103"/>
              <w:rPr>
                <w:sz w:val="21"/>
              </w:rPr>
            </w:pPr>
            <w:r>
              <w:rPr>
                <w:sz w:val="21"/>
              </w:rPr>
              <w:t>《中华人民共和国固体废物污染环境防治法》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rPr>
                <w:b/>
                <w:sz w:val="20"/>
              </w:rPr>
            </w:pPr>
          </w:p>
          <w:p>
            <w:pPr>
              <w:pStyle w:val="12"/>
              <w:spacing w:before="9"/>
              <w:rPr>
                <w:b/>
                <w:sz w:val="16"/>
              </w:rPr>
            </w:pPr>
          </w:p>
          <w:p>
            <w:pPr>
              <w:pStyle w:val="12"/>
              <w:spacing w:line="213" w:lineRule="auto"/>
              <w:ind w:left="261" w:right="156" w:hanging="106"/>
              <w:rPr>
                <w:sz w:val="21"/>
              </w:rPr>
            </w:pPr>
            <w:r>
              <w:rPr>
                <w:sz w:val="21"/>
              </w:rPr>
              <w:t>污染物排放管控</w:t>
            </w:r>
          </w:p>
        </w:tc>
        <w:tc>
          <w:tcPr>
            <w:tcW w:w="16110" w:type="dxa"/>
            <w:tcBorders>
              <w:top w:val="single" w:color="000000" w:sz="4" w:space="0"/>
              <w:bottom w:val="single" w:color="000000" w:sz="4" w:space="0"/>
            </w:tcBorders>
          </w:tcPr>
          <w:p>
            <w:pPr>
              <w:pStyle w:val="12"/>
              <w:rPr>
                <w:b/>
              </w:rPr>
            </w:pPr>
          </w:p>
          <w:p>
            <w:pPr>
              <w:pStyle w:val="12"/>
              <w:spacing w:before="154" w:line="242" w:lineRule="auto"/>
              <w:ind w:left="105" w:right="81"/>
              <w:rPr>
                <w:sz w:val="21"/>
              </w:rPr>
            </w:pPr>
            <w:r>
              <w:rPr>
                <w:b/>
                <w:sz w:val="21"/>
              </w:rPr>
              <w:t xml:space="preserve">第三十二条 </w:t>
            </w:r>
            <w:r>
              <w:rPr>
                <w:sz w:val="21"/>
              </w:rPr>
              <w:t>在自然保护区的实验区内，不得建设污染环境、破坏资源或者景观的生产设施</w:t>
            </w:r>
            <w:r>
              <w:rPr>
                <w:rFonts w:ascii="Calibri" w:eastAsia="Calibri"/>
                <w:sz w:val="21"/>
              </w:rPr>
              <w:t>;</w:t>
            </w:r>
            <w:r>
              <w:rPr>
                <w:sz w:val="21"/>
              </w:rPr>
              <w:t>建设其他项目，其污染物排放不得超过国家和地方规定的污染物排放标准。在自然保护区的实验区内已经建成的设施，其污染物排放超过国家和地方规定的排放标准的，应当限期治理</w:t>
            </w:r>
            <w:r>
              <w:rPr>
                <w:rFonts w:ascii="Calibri" w:eastAsia="Calibri"/>
                <w:sz w:val="21"/>
              </w:rPr>
              <w:t>;</w:t>
            </w:r>
            <w:r>
              <w:rPr>
                <w:sz w:val="21"/>
              </w:rPr>
              <w:t>造成损害的，必须采取补救措施。</w:t>
            </w:r>
          </w:p>
        </w:tc>
        <w:tc>
          <w:tcPr>
            <w:tcW w:w="2693" w:type="dxa"/>
            <w:tcBorders>
              <w:top w:val="single" w:color="000000" w:sz="4" w:space="0"/>
              <w:bottom w:val="single" w:color="000000" w:sz="4" w:space="0"/>
            </w:tcBorders>
          </w:tcPr>
          <w:p>
            <w:pPr>
              <w:pStyle w:val="12"/>
              <w:rPr>
                <w:b/>
                <w:sz w:val="20"/>
              </w:rPr>
            </w:pPr>
          </w:p>
          <w:p>
            <w:pPr>
              <w:pStyle w:val="12"/>
              <w:spacing w:before="179" w:line="266" w:lineRule="auto"/>
              <w:ind w:left="105" w:right="103"/>
              <w:rPr>
                <w:sz w:val="21"/>
              </w:rPr>
            </w:pPr>
            <w:r>
              <w:rPr>
                <w:sz w:val="21"/>
              </w:rPr>
              <w:t>《中华人民共和国自然保护区条例》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restart"/>
            <w:tcBorders>
              <w:top w:val="single" w:color="000000" w:sz="4" w:space="0"/>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2" w:line="213" w:lineRule="auto"/>
              <w:ind w:left="107" w:right="178"/>
              <w:jc w:val="both"/>
              <w:rPr>
                <w:sz w:val="21"/>
              </w:rPr>
            </w:pPr>
            <w:r>
              <w:rPr>
                <w:sz w:val="21"/>
              </w:rPr>
              <w:t>地方级管控要求</w:t>
            </w: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21"/>
              </w:rPr>
            </w:pPr>
          </w:p>
          <w:p>
            <w:pPr>
              <w:pStyle w:val="12"/>
              <w:spacing w:before="1" w:line="213" w:lineRule="auto"/>
              <w:ind w:left="155" w:right="156"/>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rPr>
                <w:b/>
                <w:sz w:val="20"/>
              </w:rPr>
            </w:pPr>
          </w:p>
          <w:p>
            <w:pPr>
              <w:pStyle w:val="12"/>
              <w:spacing w:before="6"/>
              <w:rPr>
                <w:b/>
              </w:rPr>
            </w:pPr>
          </w:p>
          <w:p>
            <w:pPr>
              <w:pStyle w:val="12"/>
              <w:spacing w:line="213" w:lineRule="auto"/>
              <w:ind w:left="105" w:right="28"/>
              <w:rPr>
                <w:sz w:val="21"/>
              </w:rPr>
            </w:pPr>
            <w:r>
              <w:rPr>
                <w:b/>
                <w:sz w:val="21"/>
              </w:rPr>
              <w:t>第十三条</w:t>
            </w:r>
            <w:r>
              <w:rPr>
                <w:spacing w:val="-3"/>
                <w:sz w:val="21"/>
              </w:rPr>
              <w:t>任何单位和个人不得侵占、破坏自然保护区的自然资源和设施，未经批准不得在自然保护区内建立机构和修筑设施。因国家建设需要在自然保护区兴建工程项目的， 经同级林业主管部门审查同意后，按有关规定办理用地等审批手续。建设单位必须遵守环境保护法律、法规的规定。不得兴建污染环境、破坏生态的设施。</w:t>
            </w:r>
          </w:p>
        </w:tc>
        <w:tc>
          <w:tcPr>
            <w:tcW w:w="2693"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16"/>
              </w:rPr>
            </w:pPr>
          </w:p>
          <w:p>
            <w:pPr>
              <w:pStyle w:val="12"/>
              <w:spacing w:line="266" w:lineRule="auto"/>
              <w:ind w:left="105" w:right="101"/>
              <w:jc w:val="both"/>
              <w:rPr>
                <w:sz w:val="21"/>
              </w:rPr>
            </w:pPr>
            <w:r>
              <w:rPr>
                <w:sz w:val="21"/>
              </w:rPr>
              <w:t>《贵州省实施﹤森林和野生动物类型自然保护区管理办法﹥细则》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4"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rPr>
                <w:b/>
                <w:sz w:val="20"/>
              </w:rPr>
            </w:pPr>
          </w:p>
          <w:p>
            <w:pPr>
              <w:pStyle w:val="12"/>
              <w:rPr>
                <w:b/>
                <w:sz w:val="20"/>
              </w:rPr>
            </w:pPr>
          </w:p>
          <w:p>
            <w:pPr>
              <w:pStyle w:val="12"/>
              <w:spacing w:before="4"/>
              <w:rPr>
                <w:b/>
                <w:sz w:val="21"/>
              </w:rPr>
            </w:pPr>
          </w:p>
          <w:p>
            <w:pPr>
              <w:pStyle w:val="12"/>
              <w:spacing w:before="1" w:line="242" w:lineRule="auto"/>
              <w:ind w:left="105" w:right="98"/>
              <w:rPr>
                <w:sz w:val="21"/>
              </w:rPr>
            </w:pPr>
            <w:r>
              <w:rPr>
                <w:b/>
                <w:sz w:val="21"/>
              </w:rPr>
              <w:t>第十一条</w:t>
            </w:r>
            <w:r>
              <w:rPr>
                <w:spacing w:val="-4"/>
                <w:sz w:val="21"/>
              </w:rPr>
              <w:t xml:space="preserve">在确保自然资源和环境质量不受破坏的前提下，经省林业主管部门批准，可在指定的范围内开展旅游活动。审批部门应当在受理申请之日起 </w:t>
            </w:r>
            <w:r>
              <w:rPr>
                <w:rFonts w:ascii="Calibri" w:eastAsia="Calibri"/>
                <w:sz w:val="21"/>
              </w:rPr>
              <w:t xml:space="preserve">20 </w:t>
            </w:r>
            <w:r>
              <w:rPr>
                <w:spacing w:val="-3"/>
                <w:sz w:val="21"/>
              </w:rPr>
              <w:t>日内作出是否予以行政许可的决定。经批准的，应当遵守以下规定：</w:t>
            </w:r>
          </w:p>
          <w:p>
            <w:pPr>
              <w:pStyle w:val="12"/>
              <w:spacing w:before="1"/>
              <w:ind w:left="105"/>
              <w:rPr>
                <w:sz w:val="21"/>
              </w:rPr>
            </w:pPr>
            <w:r>
              <w:rPr>
                <w:sz w:val="21"/>
              </w:rPr>
              <w:t>（一）旅游业务由自然保护区管理机构统一管理，所得收入用于自然保护区的建设和保护；</w:t>
            </w:r>
          </w:p>
          <w:p>
            <w:pPr>
              <w:pStyle w:val="12"/>
              <w:spacing w:before="2"/>
              <w:ind w:left="105"/>
              <w:rPr>
                <w:sz w:val="21"/>
              </w:rPr>
            </w:pPr>
            <w:r>
              <w:rPr>
                <w:sz w:val="21"/>
              </w:rPr>
              <w:t>（二）有关部门投资或与自然保护区联合兴办的旅游建筑和设施，产权归自然保护区，所得收益在一定时期内按比例分成，但不得改变自然保护区隶属关系；</w:t>
            </w:r>
          </w:p>
          <w:p>
            <w:pPr>
              <w:pStyle w:val="12"/>
              <w:spacing w:before="5"/>
              <w:ind w:left="105"/>
              <w:rPr>
                <w:sz w:val="21"/>
              </w:rPr>
            </w:pPr>
            <w:r>
              <w:rPr>
                <w:sz w:val="21"/>
              </w:rPr>
              <w:t>（三</w:t>
            </w:r>
            <w:r>
              <w:rPr>
                <w:spacing w:val="-3"/>
                <w:sz w:val="21"/>
              </w:rPr>
              <w:t>）对旅游区必须进行规划设计，确定合适的旅游点和旅游路线；</w:t>
            </w:r>
          </w:p>
          <w:p>
            <w:pPr>
              <w:pStyle w:val="12"/>
              <w:spacing w:before="2"/>
              <w:ind w:left="105"/>
              <w:rPr>
                <w:sz w:val="21"/>
              </w:rPr>
            </w:pPr>
            <w:r>
              <w:rPr>
                <w:sz w:val="21"/>
              </w:rPr>
              <w:t>（四</w:t>
            </w:r>
            <w:r>
              <w:rPr>
                <w:spacing w:val="-3"/>
                <w:sz w:val="21"/>
              </w:rPr>
              <w:t>）旅游点的建筑和设施要体现民族风格，同自然景观和谐一致；</w:t>
            </w:r>
          </w:p>
          <w:p>
            <w:pPr>
              <w:pStyle w:val="12"/>
              <w:spacing w:before="4"/>
              <w:ind w:left="105"/>
              <w:rPr>
                <w:sz w:val="21"/>
              </w:rPr>
            </w:pPr>
            <w:r>
              <w:rPr>
                <w:sz w:val="21"/>
              </w:rPr>
              <w:t>（五）根据旅游需要和接待条件制订年度接待计划，按隶属关系报林业主管部门批准，有组织地开展旅游；</w:t>
            </w:r>
          </w:p>
          <w:p>
            <w:pPr>
              <w:pStyle w:val="12"/>
              <w:spacing w:before="2"/>
              <w:ind w:left="105"/>
              <w:rPr>
                <w:sz w:val="21"/>
              </w:rPr>
            </w:pPr>
            <w:r>
              <w:rPr>
                <w:sz w:val="21"/>
              </w:rPr>
              <w:t>（六）设置防火、卫生等设施，实行严格的巡护检查，防止造成环境污染和自然资源的破坏。</w:t>
            </w:r>
          </w:p>
          <w:p>
            <w:pPr>
              <w:pStyle w:val="12"/>
              <w:spacing w:before="5" w:line="242" w:lineRule="auto"/>
              <w:ind w:left="105" w:right="99"/>
              <w:rPr>
                <w:sz w:val="21"/>
              </w:rPr>
            </w:pPr>
            <w:r>
              <w:rPr>
                <w:b/>
                <w:sz w:val="21"/>
              </w:rPr>
              <w:t>第十五条</w:t>
            </w:r>
            <w:r>
              <w:rPr>
                <w:spacing w:val="-10"/>
                <w:sz w:val="21"/>
              </w:rPr>
              <w:t>在保护自然资源和生态环境的前提下，自然保护区管理机构可根据实际情况，开展种植业、养殖业、商业、服务业等多种经营，所得收入用于自然保护区的管理、建设。</w:t>
            </w:r>
          </w:p>
        </w:tc>
        <w:tc>
          <w:tcPr>
            <w:tcW w:w="2693" w:type="dxa"/>
            <w:vMerge w:val="continue"/>
            <w:tcBorders>
              <w:top w:val="nil"/>
              <w:bottom w:val="single" w:color="000000" w:sz="4" w:space="0"/>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670"/>
        <w:gridCol w:w="718"/>
        <w:gridCol w:w="1164"/>
        <w:gridCol w:w="16110"/>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114" w:type="dxa"/>
            <w:gridSpan w:val="2"/>
            <w:tcBorders>
              <w:left w:val="single" w:color="000000" w:sz="2" w:space="0"/>
              <w:right w:val="single" w:color="000000" w:sz="2" w:space="0"/>
            </w:tcBorders>
          </w:tcPr>
          <w:p>
            <w:pPr>
              <w:pStyle w:val="12"/>
              <w:spacing w:before="133"/>
              <w:ind w:left="345"/>
              <w:rPr>
                <w:b/>
                <w:sz w:val="21"/>
              </w:rPr>
            </w:pPr>
            <w:r>
              <w:rPr>
                <w:b/>
                <w:sz w:val="21"/>
              </w:rPr>
              <w:t>属性</w:t>
            </w:r>
          </w:p>
        </w:tc>
        <w:tc>
          <w:tcPr>
            <w:tcW w:w="1882" w:type="dxa"/>
            <w:gridSpan w:val="2"/>
            <w:tcBorders>
              <w:left w:val="single" w:color="000000" w:sz="2" w:space="0"/>
              <w:right w:val="single" w:color="000000" w:sz="2" w:space="0"/>
            </w:tcBorders>
          </w:tcPr>
          <w:p>
            <w:pPr>
              <w:pStyle w:val="12"/>
              <w:spacing w:before="133"/>
              <w:ind w:left="707" w:right="707"/>
              <w:jc w:val="center"/>
              <w:rPr>
                <w:b/>
                <w:sz w:val="21"/>
              </w:rPr>
            </w:pPr>
            <w:r>
              <w:rPr>
                <w:b/>
                <w:sz w:val="21"/>
              </w:rPr>
              <w:t>管控</w:t>
            </w:r>
          </w:p>
        </w:tc>
        <w:tc>
          <w:tcPr>
            <w:tcW w:w="16110" w:type="dxa"/>
            <w:tcBorders>
              <w:left w:val="single" w:color="000000" w:sz="2" w:space="0"/>
              <w:right w:val="single" w:color="000000" w:sz="2" w:space="0"/>
            </w:tcBorders>
          </w:tcPr>
          <w:p>
            <w:pPr>
              <w:pStyle w:val="12"/>
              <w:spacing w:before="135"/>
              <w:ind w:left="7610" w:right="7189"/>
              <w:jc w:val="center"/>
              <w:rPr>
                <w:b/>
                <w:sz w:val="21"/>
              </w:rPr>
            </w:pPr>
            <w:r>
              <w:rPr>
                <w:b/>
                <w:sz w:val="21"/>
              </w:rPr>
              <w:t>管控要求</w:t>
            </w:r>
          </w:p>
        </w:tc>
        <w:tc>
          <w:tcPr>
            <w:tcW w:w="2693" w:type="dxa"/>
            <w:tcBorders>
              <w:left w:val="single" w:color="000000" w:sz="2" w:space="0"/>
              <w:right w:val="single" w:color="000000" w:sz="2" w:space="0"/>
            </w:tcBorders>
          </w:tcPr>
          <w:p>
            <w:pPr>
              <w:pStyle w:val="12"/>
              <w:spacing w:before="149"/>
              <w:ind w:left="41" w:right="41"/>
              <w:jc w:val="center"/>
              <w:rPr>
                <w:b/>
                <w:sz w:val="21"/>
              </w:rPr>
            </w:pPr>
            <w:r>
              <w:rPr>
                <w:b/>
                <w:sz w:val="21"/>
              </w:rPr>
              <w:t>编制依据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444" w:type="dxa"/>
            <w:vMerge w:val="restart"/>
            <w:tcBorders>
              <w:left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6"/>
              </w:rPr>
            </w:pPr>
          </w:p>
          <w:p>
            <w:pPr>
              <w:pStyle w:val="12"/>
              <w:spacing w:line="266" w:lineRule="auto"/>
              <w:ind w:left="107" w:right="117"/>
              <w:jc w:val="both"/>
              <w:rPr>
                <w:sz w:val="21"/>
              </w:rPr>
            </w:pPr>
            <w:r>
              <w:rPr>
                <w:sz w:val="21"/>
              </w:rPr>
              <w:t>自然保护地</w:t>
            </w:r>
          </w:p>
        </w:tc>
        <w:tc>
          <w:tcPr>
            <w:tcW w:w="670" w:type="dxa"/>
            <w:vMerge w:val="restart"/>
            <w:tcBorders>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6" w:line="213" w:lineRule="auto"/>
              <w:ind w:left="107" w:right="132"/>
              <w:rPr>
                <w:sz w:val="21"/>
              </w:rPr>
            </w:pPr>
            <w:r>
              <w:rPr>
                <w:sz w:val="21"/>
              </w:rPr>
              <w:t>湿地公园</w:t>
            </w:r>
          </w:p>
        </w:tc>
        <w:tc>
          <w:tcPr>
            <w:tcW w:w="718" w:type="dxa"/>
            <w:vMerge w:val="restart"/>
            <w:tcBorders>
              <w:lef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16"/>
              </w:rPr>
            </w:pPr>
          </w:p>
          <w:p>
            <w:pPr>
              <w:pStyle w:val="12"/>
              <w:spacing w:line="213" w:lineRule="auto"/>
              <w:ind w:left="107" w:right="178"/>
              <w:jc w:val="both"/>
              <w:rPr>
                <w:sz w:val="21"/>
              </w:rPr>
            </w:pPr>
            <w:r>
              <w:rPr>
                <w:sz w:val="21"/>
              </w:rPr>
              <w:t>国家级管控要求</w:t>
            </w:r>
          </w:p>
        </w:tc>
        <w:tc>
          <w:tcPr>
            <w:tcW w:w="1164" w:type="dxa"/>
            <w:vMerge w:val="restart"/>
            <w:tcBorders>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8"/>
              </w:rPr>
            </w:pPr>
          </w:p>
          <w:p>
            <w:pPr>
              <w:pStyle w:val="12"/>
              <w:spacing w:line="213" w:lineRule="auto"/>
              <w:ind w:left="102" w:right="102"/>
              <w:jc w:val="both"/>
              <w:rPr>
                <w:sz w:val="21"/>
              </w:rPr>
            </w:pPr>
            <w:r>
              <w:rPr>
                <w:sz w:val="21"/>
              </w:rPr>
              <w:t>禁止开发建设活动的要求</w:t>
            </w:r>
          </w:p>
        </w:tc>
        <w:tc>
          <w:tcPr>
            <w:tcW w:w="16110" w:type="dxa"/>
            <w:tcBorders>
              <w:left w:val="single" w:color="000000" w:sz="2" w:space="0"/>
              <w:right w:val="single" w:color="000000" w:sz="2" w:space="0"/>
            </w:tcBorders>
          </w:tcPr>
          <w:p>
            <w:pPr>
              <w:pStyle w:val="12"/>
              <w:spacing w:before="8"/>
              <w:rPr>
                <w:b/>
                <w:sz w:val="20"/>
              </w:rPr>
            </w:pPr>
          </w:p>
          <w:p>
            <w:pPr>
              <w:pStyle w:val="12"/>
              <w:spacing w:line="242" w:lineRule="auto"/>
              <w:ind w:left="105" w:right="9409"/>
              <w:rPr>
                <w:sz w:val="21"/>
              </w:rPr>
            </w:pPr>
            <w:r>
              <w:rPr>
                <w:b/>
                <w:sz w:val="21"/>
              </w:rPr>
              <w:t>第二十九条</w:t>
            </w:r>
            <w:r>
              <w:rPr>
                <w:sz w:val="21"/>
              </w:rPr>
              <w:t>除法律法规有特别规定的以外，在湿地内禁止从事下列活动</w:t>
            </w:r>
            <w:r>
              <w:rPr>
                <w:rFonts w:ascii="Calibri" w:eastAsia="Calibri"/>
                <w:sz w:val="21"/>
              </w:rPr>
              <w:t xml:space="preserve">: </w:t>
            </w:r>
            <w:r>
              <w:rPr>
                <w:sz w:val="21"/>
              </w:rPr>
              <w:t>(一)开(围)垦、填埋或者排干湿地；</w:t>
            </w:r>
          </w:p>
          <w:p>
            <w:pPr>
              <w:pStyle w:val="12"/>
              <w:spacing w:before="2" w:line="242" w:lineRule="auto"/>
              <w:ind w:left="105" w:right="13460"/>
              <w:rPr>
                <w:sz w:val="21"/>
              </w:rPr>
            </w:pPr>
            <w:r>
              <w:rPr>
                <w:sz w:val="21"/>
              </w:rPr>
              <w:t>(二)永久性截断湿地水源； (三)挖沙、采矿；</w:t>
            </w:r>
          </w:p>
          <w:p>
            <w:pPr>
              <w:pStyle w:val="12"/>
              <w:spacing w:before="1"/>
              <w:ind w:left="105"/>
              <w:rPr>
                <w:sz w:val="21"/>
              </w:rPr>
            </w:pPr>
            <w:r>
              <w:rPr>
                <w:sz w:val="21"/>
              </w:rPr>
              <w:t>(四)倾倒有毒有害物质、废弃物、垃圾；</w:t>
            </w:r>
          </w:p>
          <w:p>
            <w:pPr>
              <w:pStyle w:val="12"/>
              <w:spacing w:before="2" w:line="244" w:lineRule="auto"/>
              <w:ind w:left="105" w:right="8863"/>
              <w:rPr>
                <w:sz w:val="21"/>
              </w:rPr>
            </w:pPr>
            <w:r>
              <w:rPr>
                <w:spacing w:val="-3"/>
                <w:sz w:val="21"/>
              </w:rPr>
              <w:t>(五)破坏野生动物栖息地和迁徙通道、鱼类洄游通道，滥采滥捕野生动植物； (六)引进外来物种；</w:t>
            </w:r>
          </w:p>
          <w:p>
            <w:pPr>
              <w:pStyle w:val="12"/>
              <w:spacing w:line="244" w:lineRule="auto"/>
              <w:ind w:left="105" w:right="11372"/>
              <w:rPr>
                <w:sz w:val="21"/>
              </w:rPr>
            </w:pPr>
            <w:r>
              <w:rPr>
                <w:sz w:val="21"/>
              </w:rPr>
              <w:t>(七)擅自放牧、捕捞、取土、取水、排污、放生； (八)其他破坏湿地及其生态功能的活动。</w:t>
            </w:r>
          </w:p>
        </w:tc>
        <w:tc>
          <w:tcPr>
            <w:tcW w:w="2693" w:type="dxa"/>
            <w:tcBorders>
              <w:left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6"/>
              </w:rPr>
            </w:pPr>
          </w:p>
          <w:p>
            <w:pPr>
              <w:pStyle w:val="12"/>
              <w:spacing w:before="1"/>
              <w:ind w:left="393"/>
              <w:rPr>
                <w:sz w:val="21"/>
              </w:rPr>
            </w:pPr>
            <w:r>
              <w:rPr>
                <w:sz w:val="21"/>
              </w:rPr>
              <w:t>《湿地保护管理规定》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trPr>
        <w:tc>
          <w:tcPr>
            <w:tcW w:w="444" w:type="dxa"/>
            <w:vMerge w:val="continue"/>
            <w:tcBorders>
              <w:top w:val="nil"/>
              <w:left w:val="single" w:color="000000" w:sz="2" w:space="0"/>
              <w:right w:val="single" w:color="000000" w:sz="2" w:space="0"/>
            </w:tcBorders>
          </w:tcPr>
          <w:p>
            <w:pPr>
              <w:rPr>
                <w:sz w:val="2"/>
                <w:szCs w:val="2"/>
              </w:rPr>
            </w:pPr>
          </w:p>
        </w:tc>
        <w:tc>
          <w:tcPr>
            <w:tcW w:w="670" w:type="dxa"/>
            <w:vMerge w:val="continue"/>
            <w:tcBorders>
              <w:top w:val="nil"/>
              <w:left w:val="single" w:color="000000" w:sz="2" w:space="0"/>
              <w:bottom w:val="single" w:color="000000" w:sz="2" w:space="0"/>
              <w:right w:val="single" w:color="000000" w:sz="2" w:space="0"/>
            </w:tcBorders>
          </w:tcPr>
          <w:p>
            <w:pPr>
              <w:rPr>
                <w:sz w:val="2"/>
                <w:szCs w:val="2"/>
              </w:rPr>
            </w:pPr>
          </w:p>
        </w:tc>
        <w:tc>
          <w:tcPr>
            <w:tcW w:w="718" w:type="dxa"/>
            <w:vMerge w:val="continue"/>
            <w:tcBorders>
              <w:top w:val="nil"/>
              <w:left w:val="single" w:color="000000" w:sz="2" w:space="0"/>
            </w:tcBorders>
          </w:tcPr>
          <w:p>
            <w:pPr>
              <w:rPr>
                <w:sz w:val="2"/>
                <w:szCs w:val="2"/>
              </w:rPr>
            </w:pPr>
          </w:p>
        </w:tc>
        <w:tc>
          <w:tcPr>
            <w:tcW w:w="1164" w:type="dxa"/>
            <w:vMerge w:val="continue"/>
            <w:tcBorders>
              <w:top w:val="nil"/>
              <w:right w:val="single" w:color="000000" w:sz="2" w:space="0"/>
            </w:tcBorders>
          </w:tcPr>
          <w:p>
            <w:pPr>
              <w:rPr>
                <w:sz w:val="2"/>
                <w:szCs w:val="2"/>
              </w:rPr>
            </w:pPr>
          </w:p>
        </w:tc>
        <w:tc>
          <w:tcPr>
            <w:tcW w:w="16110" w:type="dxa"/>
            <w:tcBorders>
              <w:left w:val="single" w:color="000000" w:sz="2" w:space="0"/>
              <w:right w:val="single" w:color="000000" w:sz="2" w:space="0"/>
            </w:tcBorders>
          </w:tcPr>
          <w:p>
            <w:pPr>
              <w:pStyle w:val="12"/>
              <w:spacing w:before="174"/>
              <w:ind w:left="105"/>
              <w:rPr>
                <w:sz w:val="21"/>
              </w:rPr>
            </w:pPr>
            <w:r>
              <w:rPr>
                <w:b/>
                <w:sz w:val="21"/>
              </w:rPr>
              <w:t xml:space="preserve">第十九条 </w:t>
            </w:r>
            <w:r>
              <w:rPr>
                <w:sz w:val="21"/>
              </w:rPr>
              <w:t>除国家另有规定外，国家湿地公园内禁止下列行为：</w:t>
            </w:r>
          </w:p>
          <w:p>
            <w:pPr>
              <w:pStyle w:val="12"/>
              <w:spacing w:before="2"/>
              <w:ind w:left="105"/>
              <w:rPr>
                <w:sz w:val="21"/>
              </w:rPr>
            </w:pPr>
            <w:r>
              <w:rPr>
                <w:sz w:val="21"/>
              </w:rPr>
              <w:t>（一）开（围）垦、填埋或者排干湿地。</w:t>
            </w:r>
          </w:p>
          <w:p>
            <w:pPr>
              <w:pStyle w:val="12"/>
              <w:spacing w:before="5"/>
              <w:ind w:left="105"/>
              <w:rPr>
                <w:sz w:val="21"/>
              </w:rPr>
            </w:pPr>
            <w:r>
              <w:rPr>
                <w:sz w:val="21"/>
              </w:rPr>
              <w:t>（二）截断湿地水源。</w:t>
            </w:r>
          </w:p>
          <w:p>
            <w:pPr>
              <w:pStyle w:val="12"/>
              <w:spacing w:before="2"/>
              <w:ind w:left="105"/>
              <w:rPr>
                <w:sz w:val="21"/>
              </w:rPr>
            </w:pPr>
            <w:r>
              <w:rPr>
                <w:sz w:val="21"/>
              </w:rPr>
              <w:t>（三）挖沙、采矿。</w:t>
            </w:r>
          </w:p>
          <w:p>
            <w:pPr>
              <w:pStyle w:val="12"/>
              <w:spacing w:before="4"/>
              <w:ind w:left="105"/>
              <w:rPr>
                <w:sz w:val="21"/>
              </w:rPr>
            </w:pPr>
            <w:r>
              <w:rPr>
                <w:sz w:val="21"/>
              </w:rPr>
              <w:t>（四）倾倒有毒有害物质、废弃物、垃圾。</w:t>
            </w:r>
          </w:p>
          <w:p>
            <w:pPr>
              <w:pStyle w:val="12"/>
              <w:spacing w:before="3"/>
              <w:ind w:left="105"/>
              <w:rPr>
                <w:sz w:val="21"/>
              </w:rPr>
            </w:pPr>
            <w:r>
              <w:rPr>
                <w:sz w:val="21"/>
              </w:rPr>
              <w:t>（五）从事房地产、度假村、高尔夫球场、风力发电、光伏发电等任何不符合主体功能定位的建设项目和开发活动。</w:t>
            </w:r>
          </w:p>
          <w:p>
            <w:pPr>
              <w:pStyle w:val="12"/>
              <w:spacing w:before="4"/>
              <w:ind w:left="105"/>
              <w:rPr>
                <w:sz w:val="21"/>
              </w:rPr>
            </w:pPr>
            <w:r>
              <w:rPr>
                <w:sz w:val="21"/>
              </w:rPr>
              <w:t>（六）破坏野生动物栖息地和迁徙通道、鱼类洄游通道，滥采滥捕野生动植物。</w:t>
            </w:r>
          </w:p>
          <w:p>
            <w:pPr>
              <w:pStyle w:val="12"/>
              <w:spacing w:before="2"/>
              <w:ind w:left="105"/>
              <w:rPr>
                <w:sz w:val="21"/>
              </w:rPr>
            </w:pPr>
            <w:r>
              <w:rPr>
                <w:sz w:val="21"/>
              </w:rPr>
              <w:t>（七）引入外来物种。</w:t>
            </w:r>
          </w:p>
          <w:p>
            <w:pPr>
              <w:pStyle w:val="12"/>
              <w:spacing w:before="5"/>
              <w:ind w:left="105"/>
              <w:rPr>
                <w:sz w:val="21"/>
              </w:rPr>
            </w:pPr>
            <w:r>
              <w:rPr>
                <w:sz w:val="21"/>
              </w:rPr>
              <w:t>（八）擅自放牧、捕捞、取土、取水、排污、放生。</w:t>
            </w:r>
          </w:p>
          <w:p>
            <w:pPr>
              <w:pStyle w:val="12"/>
              <w:spacing w:before="2"/>
              <w:ind w:left="105"/>
              <w:rPr>
                <w:sz w:val="21"/>
              </w:rPr>
            </w:pPr>
            <w:r>
              <w:rPr>
                <w:sz w:val="21"/>
              </w:rPr>
              <w:t>（九）其他破坏湿地及其生态功能的活动。</w:t>
            </w:r>
          </w:p>
        </w:tc>
        <w:tc>
          <w:tcPr>
            <w:tcW w:w="2693" w:type="dxa"/>
            <w:tcBorders>
              <w:left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34"/>
              <w:ind w:left="105"/>
              <w:rPr>
                <w:sz w:val="21"/>
              </w:rPr>
            </w:pPr>
            <w:r>
              <w:rPr>
                <w:sz w:val="21"/>
              </w:rPr>
              <w:t>《国家湿地公园管理办法》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444" w:type="dxa"/>
            <w:vMerge w:val="continue"/>
            <w:tcBorders>
              <w:top w:val="nil"/>
              <w:left w:val="single" w:color="000000" w:sz="2" w:space="0"/>
              <w:right w:val="single" w:color="000000" w:sz="2" w:space="0"/>
            </w:tcBorders>
          </w:tcPr>
          <w:p>
            <w:pPr>
              <w:rPr>
                <w:sz w:val="2"/>
                <w:szCs w:val="2"/>
              </w:rPr>
            </w:pPr>
          </w:p>
        </w:tc>
        <w:tc>
          <w:tcPr>
            <w:tcW w:w="670" w:type="dxa"/>
            <w:vMerge w:val="continue"/>
            <w:tcBorders>
              <w:top w:val="nil"/>
              <w:left w:val="single" w:color="000000" w:sz="2" w:space="0"/>
              <w:bottom w:val="single" w:color="000000" w:sz="2" w:space="0"/>
              <w:right w:val="single" w:color="000000" w:sz="2" w:space="0"/>
            </w:tcBorders>
          </w:tcPr>
          <w:p>
            <w:pPr>
              <w:rPr>
                <w:sz w:val="2"/>
                <w:szCs w:val="2"/>
              </w:rPr>
            </w:pPr>
          </w:p>
        </w:tc>
        <w:tc>
          <w:tcPr>
            <w:tcW w:w="718" w:type="dxa"/>
            <w:vMerge w:val="continue"/>
            <w:tcBorders>
              <w:top w:val="nil"/>
              <w:left w:val="single" w:color="000000" w:sz="2" w:space="0"/>
            </w:tcBorders>
          </w:tcPr>
          <w:p>
            <w:pPr>
              <w:rPr>
                <w:sz w:val="2"/>
                <w:szCs w:val="2"/>
              </w:rPr>
            </w:pPr>
          </w:p>
        </w:tc>
        <w:tc>
          <w:tcPr>
            <w:tcW w:w="1164" w:type="dxa"/>
            <w:tcBorders>
              <w:right w:val="single" w:color="000000" w:sz="2" w:space="0"/>
            </w:tcBorders>
          </w:tcPr>
          <w:p>
            <w:pPr>
              <w:pStyle w:val="12"/>
              <w:spacing w:before="8"/>
              <w:rPr>
                <w:b/>
                <w:sz w:val="28"/>
              </w:rPr>
            </w:pPr>
          </w:p>
          <w:p>
            <w:pPr>
              <w:pStyle w:val="12"/>
              <w:spacing w:before="1" w:line="213" w:lineRule="auto"/>
              <w:ind w:left="155" w:right="156"/>
              <w:jc w:val="both"/>
              <w:rPr>
                <w:sz w:val="21"/>
              </w:rPr>
            </w:pPr>
            <w:r>
              <w:rPr>
                <w:sz w:val="21"/>
              </w:rPr>
              <w:t>限制开发建设活动的要求</w:t>
            </w:r>
          </w:p>
        </w:tc>
        <w:tc>
          <w:tcPr>
            <w:tcW w:w="16110" w:type="dxa"/>
            <w:tcBorders>
              <w:left w:val="single" w:color="000000" w:sz="2" w:space="0"/>
              <w:right w:val="single" w:color="000000" w:sz="2" w:space="0"/>
            </w:tcBorders>
          </w:tcPr>
          <w:p>
            <w:pPr>
              <w:pStyle w:val="12"/>
              <w:spacing w:before="179" w:line="242" w:lineRule="auto"/>
              <w:ind w:left="105" w:right="102"/>
              <w:rPr>
                <w:sz w:val="21"/>
              </w:rPr>
            </w:pPr>
            <w:r>
              <w:rPr>
                <w:b/>
                <w:sz w:val="21"/>
              </w:rPr>
              <w:t xml:space="preserve">第十八条 </w:t>
            </w:r>
            <w:r>
              <w:rPr>
                <w:sz w:val="21"/>
              </w:rPr>
              <w:t>禁止擅自征收、占用国家湿地公园的土地。确需征收、占用的，用地单位应当征求省级林业主管部门的意见后，方可依法办理相关手续。由省级林业主管部门报国家林业局备案。</w:t>
            </w:r>
          </w:p>
          <w:p>
            <w:pPr>
              <w:pStyle w:val="12"/>
              <w:spacing w:before="1" w:line="242" w:lineRule="auto"/>
              <w:ind w:left="105" w:right="102"/>
              <w:rPr>
                <w:sz w:val="21"/>
              </w:rPr>
            </w:pPr>
            <w:r>
              <w:rPr>
                <w:b/>
                <w:sz w:val="21"/>
              </w:rPr>
              <w:t xml:space="preserve">第十一条 </w:t>
            </w:r>
            <w:r>
              <w:rPr>
                <w:sz w:val="21"/>
              </w:rPr>
              <w:t>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理服务等活动。</w:t>
            </w:r>
          </w:p>
        </w:tc>
        <w:tc>
          <w:tcPr>
            <w:tcW w:w="2693" w:type="dxa"/>
            <w:tcBorders>
              <w:left w:val="single" w:color="000000" w:sz="2" w:space="0"/>
              <w:right w:val="single" w:color="000000" w:sz="2" w:space="0"/>
            </w:tcBorders>
          </w:tcPr>
          <w:p>
            <w:pPr>
              <w:pStyle w:val="12"/>
              <w:rPr>
                <w:b/>
                <w:sz w:val="20"/>
              </w:rPr>
            </w:pPr>
          </w:p>
          <w:p>
            <w:pPr>
              <w:pStyle w:val="12"/>
              <w:spacing w:before="12"/>
              <w:rPr>
                <w:b/>
                <w:sz w:val="26"/>
              </w:rPr>
            </w:pPr>
          </w:p>
          <w:p>
            <w:pPr>
              <w:pStyle w:val="12"/>
              <w:ind w:left="105"/>
              <w:rPr>
                <w:sz w:val="21"/>
              </w:rPr>
            </w:pPr>
            <w:r>
              <w:rPr>
                <w:sz w:val="21"/>
              </w:rPr>
              <w:t>《国家湿地公园管理办法》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444" w:type="dxa"/>
            <w:vMerge w:val="continue"/>
            <w:tcBorders>
              <w:top w:val="nil"/>
              <w:left w:val="single" w:color="000000" w:sz="2" w:space="0"/>
              <w:right w:val="single" w:color="000000" w:sz="2" w:space="0"/>
            </w:tcBorders>
          </w:tcPr>
          <w:p>
            <w:pPr>
              <w:rPr>
                <w:sz w:val="2"/>
                <w:szCs w:val="2"/>
              </w:rPr>
            </w:pPr>
          </w:p>
        </w:tc>
        <w:tc>
          <w:tcPr>
            <w:tcW w:w="670" w:type="dxa"/>
            <w:vMerge w:val="continue"/>
            <w:tcBorders>
              <w:top w:val="nil"/>
              <w:left w:val="single" w:color="000000" w:sz="2" w:space="0"/>
              <w:bottom w:val="single" w:color="000000" w:sz="2" w:space="0"/>
              <w:right w:val="single" w:color="000000" w:sz="2" w:space="0"/>
            </w:tcBorders>
          </w:tcPr>
          <w:p>
            <w:pPr>
              <w:rPr>
                <w:sz w:val="2"/>
                <w:szCs w:val="2"/>
              </w:rPr>
            </w:pPr>
          </w:p>
        </w:tc>
        <w:tc>
          <w:tcPr>
            <w:tcW w:w="718" w:type="dxa"/>
            <w:vMerge w:val="restart"/>
            <w:tcBorders>
              <w:left w:val="single" w:color="000000" w:sz="2" w:space="0"/>
              <w:bottom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0"/>
              </w:rPr>
            </w:pPr>
          </w:p>
          <w:p>
            <w:pPr>
              <w:pStyle w:val="12"/>
              <w:spacing w:line="213" w:lineRule="auto"/>
              <w:ind w:left="107" w:right="178"/>
              <w:jc w:val="both"/>
              <w:rPr>
                <w:sz w:val="21"/>
              </w:rPr>
            </w:pPr>
            <w:r>
              <w:rPr>
                <w:sz w:val="21"/>
              </w:rPr>
              <w:t>地方级管控要求</w:t>
            </w:r>
          </w:p>
        </w:tc>
        <w:tc>
          <w:tcPr>
            <w:tcW w:w="1164" w:type="dxa"/>
            <w:tcBorders>
              <w:right w:val="single" w:color="000000" w:sz="2" w:space="0"/>
            </w:tcBorders>
          </w:tcPr>
          <w:p>
            <w:pPr>
              <w:pStyle w:val="12"/>
              <w:rPr>
                <w:b/>
                <w:sz w:val="20"/>
              </w:rPr>
            </w:pPr>
          </w:p>
          <w:p>
            <w:pPr>
              <w:pStyle w:val="12"/>
              <w:rPr>
                <w:b/>
                <w:sz w:val="20"/>
              </w:rPr>
            </w:pPr>
          </w:p>
          <w:p>
            <w:pPr>
              <w:pStyle w:val="12"/>
              <w:rPr>
                <w:b/>
                <w:sz w:val="20"/>
              </w:rPr>
            </w:pPr>
          </w:p>
          <w:p>
            <w:pPr>
              <w:pStyle w:val="12"/>
              <w:spacing w:before="11"/>
              <w:rPr>
                <w:b/>
                <w:sz w:val="20"/>
              </w:rPr>
            </w:pPr>
          </w:p>
          <w:p>
            <w:pPr>
              <w:pStyle w:val="12"/>
              <w:spacing w:before="1" w:line="213" w:lineRule="auto"/>
              <w:ind w:left="155" w:right="156"/>
              <w:jc w:val="both"/>
              <w:rPr>
                <w:sz w:val="21"/>
              </w:rPr>
            </w:pPr>
            <w:r>
              <w:rPr>
                <w:sz w:val="21"/>
              </w:rPr>
              <w:t>禁止开发建设活动的要求</w:t>
            </w:r>
          </w:p>
        </w:tc>
        <w:tc>
          <w:tcPr>
            <w:tcW w:w="16110" w:type="dxa"/>
            <w:tcBorders>
              <w:left w:val="single" w:color="000000" w:sz="2" w:space="0"/>
              <w:right w:val="single" w:color="000000" w:sz="2" w:space="0"/>
            </w:tcBorders>
          </w:tcPr>
          <w:p>
            <w:pPr>
              <w:pStyle w:val="12"/>
              <w:spacing w:before="166"/>
              <w:ind w:left="105"/>
              <w:rPr>
                <w:sz w:val="21"/>
              </w:rPr>
            </w:pPr>
            <w:r>
              <w:rPr>
                <w:b/>
                <w:sz w:val="21"/>
              </w:rPr>
              <w:t xml:space="preserve">第二十一条 </w:t>
            </w:r>
            <w:r>
              <w:rPr>
                <w:sz w:val="21"/>
              </w:rPr>
              <w:t>在湿地保护范围内禁止下列行为:</w:t>
            </w:r>
          </w:p>
          <w:p>
            <w:pPr>
              <w:pStyle w:val="12"/>
              <w:spacing w:before="5" w:line="242" w:lineRule="auto"/>
              <w:ind w:left="105" w:right="10651"/>
              <w:rPr>
                <w:sz w:val="21"/>
              </w:rPr>
            </w:pPr>
            <w:r>
              <w:rPr>
                <w:spacing w:val="-4"/>
                <w:sz w:val="21"/>
              </w:rPr>
              <w:t xml:space="preserve">(一)倾倒和堆置废弃物、排放有毒有害物质或者超标废水; </w:t>
            </w:r>
            <w:r>
              <w:rPr>
                <w:spacing w:val="-3"/>
                <w:sz w:val="21"/>
              </w:rPr>
              <w:t>(二)擅自新建、改建、扩建建筑物和构筑物;</w:t>
            </w:r>
          </w:p>
          <w:p>
            <w:pPr>
              <w:pStyle w:val="12"/>
              <w:spacing w:before="1"/>
              <w:ind w:left="105"/>
              <w:rPr>
                <w:sz w:val="21"/>
              </w:rPr>
            </w:pPr>
            <w:r>
              <w:rPr>
                <w:sz w:val="21"/>
              </w:rPr>
              <w:t>(三)非法捕捞鱼类及其他水生生物;</w:t>
            </w:r>
          </w:p>
          <w:p>
            <w:pPr>
              <w:pStyle w:val="12"/>
              <w:spacing w:before="2"/>
              <w:ind w:left="105"/>
              <w:rPr>
                <w:sz w:val="21"/>
              </w:rPr>
            </w:pPr>
            <w:r>
              <w:rPr>
                <w:sz w:val="21"/>
              </w:rPr>
              <w:t>(四)擅自排放湿地蓄水或者修建阻水、排水设施，截断湿地与外围水系联系;</w:t>
            </w:r>
          </w:p>
          <w:p>
            <w:pPr>
              <w:pStyle w:val="12"/>
              <w:spacing w:before="2" w:line="244" w:lineRule="auto"/>
              <w:ind w:left="105" w:right="8761"/>
              <w:rPr>
                <w:sz w:val="21"/>
              </w:rPr>
            </w:pPr>
            <w:r>
              <w:rPr>
                <w:spacing w:val="-3"/>
                <w:sz w:val="21"/>
              </w:rPr>
              <w:t>(五)擅自猎捕、采集国家和省重点保护的野生动植物，捡拾或者破坏野生鸟卵; (六)擅自开垦、围垦、填埋、占用湿地或者改变湿地用途;</w:t>
            </w:r>
          </w:p>
          <w:p>
            <w:pPr>
              <w:pStyle w:val="12"/>
              <w:spacing w:line="244" w:lineRule="auto"/>
              <w:ind w:left="105" w:right="9586"/>
              <w:rPr>
                <w:sz w:val="21"/>
              </w:rPr>
            </w:pPr>
            <w:r>
              <w:rPr>
                <w:spacing w:val="-3"/>
                <w:sz w:val="21"/>
              </w:rPr>
              <w:t>(七)擅自挖砂、采矿、取土、烧荒、采集泥炭或者泥炭藓、揭取草皮; (八)其他破坏湿地及其生态功能的行为。</w:t>
            </w:r>
          </w:p>
        </w:tc>
        <w:tc>
          <w:tcPr>
            <w:tcW w:w="2693" w:type="dxa"/>
            <w:tcBorders>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2"/>
              <w:rPr>
                <w:b/>
                <w:sz w:val="19"/>
              </w:rPr>
            </w:pPr>
          </w:p>
          <w:p>
            <w:pPr>
              <w:pStyle w:val="12"/>
              <w:ind w:left="187"/>
              <w:rPr>
                <w:sz w:val="21"/>
              </w:rPr>
            </w:pPr>
            <w:r>
              <w:rPr>
                <w:sz w:val="21"/>
              </w:rPr>
              <w:t>《贵州省湿地保护条例》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44" w:type="dxa"/>
            <w:vMerge w:val="continue"/>
            <w:tcBorders>
              <w:top w:val="nil"/>
              <w:left w:val="single" w:color="000000" w:sz="2" w:space="0"/>
              <w:right w:val="single" w:color="000000" w:sz="2" w:space="0"/>
            </w:tcBorders>
          </w:tcPr>
          <w:p>
            <w:pPr>
              <w:rPr>
                <w:sz w:val="2"/>
                <w:szCs w:val="2"/>
              </w:rPr>
            </w:pPr>
          </w:p>
        </w:tc>
        <w:tc>
          <w:tcPr>
            <w:tcW w:w="670" w:type="dxa"/>
            <w:vMerge w:val="continue"/>
            <w:tcBorders>
              <w:top w:val="nil"/>
              <w:left w:val="single" w:color="000000" w:sz="2" w:space="0"/>
              <w:bottom w:val="single" w:color="000000" w:sz="2" w:space="0"/>
              <w:right w:val="single" w:color="000000" w:sz="2" w:space="0"/>
            </w:tcBorders>
          </w:tcPr>
          <w:p>
            <w:pPr>
              <w:rPr>
                <w:sz w:val="2"/>
                <w:szCs w:val="2"/>
              </w:rPr>
            </w:pPr>
          </w:p>
        </w:tc>
        <w:tc>
          <w:tcPr>
            <w:tcW w:w="718" w:type="dxa"/>
            <w:vMerge w:val="continue"/>
            <w:tcBorders>
              <w:top w:val="nil"/>
              <w:left w:val="single" w:color="000000" w:sz="2" w:space="0"/>
              <w:bottom w:val="single" w:color="000000" w:sz="2" w:space="0"/>
            </w:tcBorders>
          </w:tcPr>
          <w:p>
            <w:pPr>
              <w:rPr>
                <w:sz w:val="2"/>
                <w:szCs w:val="2"/>
              </w:rPr>
            </w:pPr>
          </w:p>
        </w:tc>
        <w:tc>
          <w:tcPr>
            <w:tcW w:w="1164" w:type="dxa"/>
            <w:vMerge w:val="restart"/>
            <w:tcBorders>
              <w:right w:val="single" w:color="000000" w:sz="2" w:space="0"/>
            </w:tcBorders>
          </w:tcPr>
          <w:p>
            <w:pPr>
              <w:pStyle w:val="12"/>
              <w:rPr>
                <w:b/>
                <w:sz w:val="20"/>
              </w:rPr>
            </w:pPr>
          </w:p>
          <w:p>
            <w:pPr>
              <w:pStyle w:val="12"/>
              <w:rPr>
                <w:b/>
                <w:sz w:val="20"/>
              </w:rPr>
            </w:pPr>
          </w:p>
          <w:p>
            <w:pPr>
              <w:pStyle w:val="12"/>
              <w:rPr>
                <w:b/>
                <w:sz w:val="16"/>
              </w:rPr>
            </w:pPr>
          </w:p>
          <w:p>
            <w:pPr>
              <w:pStyle w:val="12"/>
              <w:spacing w:line="213" w:lineRule="auto"/>
              <w:ind w:left="155" w:right="156"/>
              <w:jc w:val="both"/>
              <w:rPr>
                <w:sz w:val="21"/>
              </w:rPr>
            </w:pPr>
            <w:r>
              <w:rPr>
                <w:sz w:val="21"/>
              </w:rPr>
              <w:t>限制开发建设活动的要求</w:t>
            </w:r>
          </w:p>
        </w:tc>
        <w:tc>
          <w:tcPr>
            <w:tcW w:w="16110" w:type="dxa"/>
            <w:tcBorders>
              <w:left w:val="single" w:color="000000" w:sz="2" w:space="0"/>
              <w:right w:val="single" w:color="000000" w:sz="2" w:space="0"/>
            </w:tcBorders>
          </w:tcPr>
          <w:p>
            <w:pPr>
              <w:pStyle w:val="12"/>
              <w:spacing w:before="7"/>
              <w:rPr>
                <w:b/>
                <w:sz w:val="18"/>
              </w:rPr>
            </w:pPr>
          </w:p>
          <w:p>
            <w:pPr>
              <w:pStyle w:val="12"/>
              <w:spacing w:before="1"/>
              <w:ind w:left="105"/>
              <w:rPr>
                <w:sz w:val="21"/>
              </w:rPr>
            </w:pPr>
            <w:r>
              <w:rPr>
                <w:b/>
                <w:sz w:val="21"/>
              </w:rPr>
              <w:t>第十六条</w:t>
            </w:r>
            <w:r>
              <w:rPr>
                <w:sz w:val="21"/>
              </w:rPr>
              <w:t>不得新建破坏或影响野生动植物栖息环境、自然景观、地质遗址和污染环境的工程设施，以保持湿地生物多样性、湿地生态系统结构与功能的完整性与自然性。</w:t>
            </w:r>
          </w:p>
        </w:tc>
        <w:tc>
          <w:tcPr>
            <w:tcW w:w="2693" w:type="dxa"/>
            <w:tcBorders>
              <w:top w:val="single" w:color="000000" w:sz="2" w:space="0"/>
              <w:left w:val="single" w:color="000000" w:sz="2" w:space="0"/>
              <w:right w:val="single" w:color="000000" w:sz="2" w:space="0"/>
            </w:tcBorders>
          </w:tcPr>
          <w:p>
            <w:pPr>
              <w:pStyle w:val="12"/>
              <w:spacing w:before="30" w:line="266" w:lineRule="auto"/>
              <w:ind w:left="105" w:right="266"/>
              <w:rPr>
                <w:sz w:val="21"/>
              </w:rPr>
            </w:pPr>
            <w:r>
              <w:rPr>
                <w:sz w:val="21"/>
              </w:rPr>
              <w:t>《贵州省省级湿地公园管理办法》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444" w:type="dxa"/>
            <w:vMerge w:val="continue"/>
            <w:tcBorders>
              <w:top w:val="nil"/>
              <w:left w:val="single" w:color="000000" w:sz="2" w:space="0"/>
              <w:right w:val="single" w:color="000000" w:sz="2" w:space="0"/>
            </w:tcBorders>
          </w:tcPr>
          <w:p>
            <w:pPr>
              <w:rPr>
                <w:sz w:val="2"/>
                <w:szCs w:val="2"/>
              </w:rPr>
            </w:pPr>
          </w:p>
        </w:tc>
        <w:tc>
          <w:tcPr>
            <w:tcW w:w="670" w:type="dxa"/>
            <w:vMerge w:val="continue"/>
            <w:tcBorders>
              <w:top w:val="nil"/>
              <w:left w:val="single" w:color="000000" w:sz="2" w:space="0"/>
              <w:bottom w:val="single" w:color="000000" w:sz="2" w:space="0"/>
              <w:right w:val="single" w:color="000000" w:sz="2" w:space="0"/>
            </w:tcBorders>
          </w:tcPr>
          <w:p>
            <w:pPr>
              <w:rPr>
                <w:sz w:val="2"/>
                <w:szCs w:val="2"/>
              </w:rPr>
            </w:pPr>
          </w:p>
        </w:tc>
        <w:tc>
          <w:tcPr>
            <w:tcW w:w="718" w:type="dxa"/>
            <w:vMerge w:val="continue"/>
            <w:tcBorders>
              <w:top w:val="nil"/>
              <w:left w:val="single" w:color="000000" w:sz="2" w:space="0"/>
              <w:bottom w:val="single" w:color="000000" w:sz="2" w:space="0"/>
            </w:tcBorders>
          </w:tcPr>
          <w:p>
            <w:pPr>
              <w:rPr>
                <w:sz w:val="2"/>
                <w:szCs w:val="2"/>
              </w:rPr>
            </w:pPr>
          </w:p>
        </w:tc>
        <w:tc>
          <w:tcPr>
            <w:tcW w:w="1164" w:type="dxa"/>
            <w:vMerge w:val="continue"/>
            <w:tcBorders>
              <w:top w:val="nil"/>
              <w:right w:val="single" w:color="000000" w:sz="2" w:space="0"/>
            </w:tcBorders>
          </w:tcPr>
          <w:p>
            <w:pPr>
              <w:rPr>
                <w:sz w:val="2"/>
                <w:szCs w:val="2"/>
              </w:rPr>
            </w:pPr>
          </w:p>
        </w:tc>
        <w:tc>
          <w:tcPr>
            <w:tcW w:w="16110" w:type="dxa"/>
            <w:tcBorders>
              <w:left w:val="single" w:color="000000" w:sz="2" w:space="0"/>
              <w:right w:val="single" w:color="000000" w:sz="2" w:space="0"/>
            </w:tcBorders>
          </w:tcPr>
          <w:p>
            <w:pPr>
              <w:pStyle w:val="12"/>
              <w:spacing w:before="149" w:line="242" w:lineRule="auto"/>
              <w:ind w:left="105" w:right="98"/>
              <w:rPr>
                <w:sz w:val="21"/>
              </w:rPr>
            </w:pPr>
            <w:r>
              <w:rPr>
                <w:b/>
                <w:sz w:val="21"/>
              </w:rPr>
              <w:t>第二十二条</w:t>
            </w:r>
            <w:r>
              <w:rPr>
                <w:spacing w:val="-9"/>
                <w:sz w:val="21"/>
              </w:rPr>
              <w:t>在湿地保护范围内进行旅游、动植物产品生产等活动，应当符合湿地保护规划，与湿地资源的承载能力和环境容量相适应，不得对野生动植物资源、湿地生态系统</w:t>
            </w:r>
            <w:r>
              <w:rPr>
                <w:spacing w:val="-5"/>
                <w:sz w:val="21"/>
              </w:rPr>
              <w:t>结构和功能造成破坏。</w:t>
            </w:r>
          </w:p>
          <w:p>
            <w:pPr>
              <w:pStyle w:val="12"/>
              <w:spacing w:before="2" w:line="242" w:lineRule="auto"/>
              <w:ind w:left="105" w:right="2963"/>
              <w:rPr>
                <w:sz w:val="21"/>
              </w:rPr>
            </w:pPr>
            <w:r>
              <w:rPr>
                <w:b/>
                <w:sz w:val="21"/>
              </w:rPr>
              <w:t>第二十八条</w:t>
            </w:r>
            <w:r>
              <w:rPr>
                <w:sz w:val="21"/>
              </w:rPr>
              <w:t>工程建设一般不得占用湿地，不得影响或者破坏湿地生态功能。确需占用湿地的，建设单位应当依法办理相关手续，并给予补偿。因工程建设需要临时占用湿地的，期限不得超过二年;临时占用期限届满后，建设单位应当对所占用的湿地进行生态修复。</w:t>
            </w:r>
          </w:p>
        </w:tc>
        <w:tc>
          <w:tcPr>
            <w:tcW w:w="2693" w:type="dxa"/>
            <w:vMerge w:val="restart"/>
            <w:tcBorders>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spacing w:before="7"/>
              <w:rPr>
                <w:b/>
                <w:sz w:val="29"/>
              </w:rPr>
            </w:pPr>
          </w:p>
          <w:p>
            <w:pPr>
              <w:pStyle w:val="12"/>
              <w:spacing w:before="1"/>
              <w:ind w:left="187"/>
              <w:rPr>
                <w:sz w:val="21"/>
              </w:rPr>
            </w:pPr>
            <w:r>
              <w:rPr>
                <w:sz w:val="21"/>
              </w:rPr>
              <w:t>《贵州省湿地保护条例》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444" w:type="dxa"/>
            <w:vMerge w:val="continue"/>
            <w:tcBorders>
              <w:top w:val="nil"/>
              <w:left w:val="single" w:color="000000" w:sz="2" w:space="0"/>
              <w:right w:val="single" w:color="000000" w:sz="2" w:space="0"/>
            </w:tcBorders>
          </w:tcPr>
          <w:p>
            <w:pPr>
              <w:rPr>
                <w:sz w:val="2"/>
                <w:szCs w:val="2"/>
              </w:rPr>
            </w:pPr>
          </w:p>
        </w:tc>
        <w:tc>
          <w:tcPr>
            <w:tcW w:w="670" w:type="dxa"/>
            <w:vMerge w:val="continue"/>
            <w:tcBorders>
              <w:top w:val="nil"/>
              <w:left w:val="single" w:color="000000" w:sz="2" w:space="0"/>
              <w:bottom w:val="single" w:color="000000" w:sz="2" w:space="0"/>
              <w:right w:val="single" w:color="000000" w:sz="2" w:space="0"/>
            </w:tcBorders>
          </w:tcPr>
          <w:p>
            <w:pPr>
              <w:rPr>
                <w:sz w:val="2"/>
                <w:szCs w:val="2"/>
              </w:rPr>
            </w:pPr>
          </w:p>
        </w:tc>
        <w:tc>
          <w:tcPr>
            <w:tcW w:w="718" w:type="dxa"/>
            <w:vMerge w:val="continue"/>
            <w:tcBorders>
              <w:top w:val="nil"/>
              <w:left w:val="single" w:color="000000" w:sz="2" w:space="0"/>
              <w:bottom w:val="single" w:color="000000" w:sz="2" w:space="0"/>
            </w:tcBorders>
          </w:tcPr>
          <w:p>
            <w:pPr>
              <w:rPr>
                <w:sz w:val="2"/>
                <w:szCs w:val="2"/>
              </w:rPr>
            </w:pPr>
          </w:p>
        </w:tc>
        <w:tc>
          <w:tcPr>
            <w:tcW w:w="1164" w:type="dxa"/>
            <w:tcBorders>
              <w:right w:val="single" w:color="000000" w:sz="2" w:space="0"/>
            </w:tcBorders>
          </w:tcPr>
          <w:p>
            <w:pPr>
              <w:pStyle w:val="12"/>
              <w:spacing w:before="3"/>
              <w:rPr>
                <w:b/>
                <w:sz w:val="26"/>
              </w:rPr>
            </w:pPr>
          </w:p>
          <w:p>
            <w:pPr>
              <w:pStyle w:val="12"/>
              <w:spacing w:line="213" w:lineRule="auto"/>
              <w:ind w:left="261" w:right="156" w:hanging="106"/>
              <w:rPr>
                <w:sz w:val="21"/>
              </w:rPr>
            </w:pPr>
            <w:r>
              <w:rPr>
                <w:sz w:val="21"/>
              </w:rPr>
              <w:t>污染物排放管控</w:t>
            </w:r>
          </w:p>
        </w:tc>
        <w:tc>
          <w:tcPr>
            <w:tcW w:w="16110" w:type="dxa"/>
            <w:tcBorders>
              <w:left w:val="single" w:color="000000" w:sz="2" w:space="0"/>
              <w:right w:val="single" w:color="000000" w:sz="2" w:space="0"/>
            </w:tcBorders>
          </w:tcPr>
          <w:p>
            <w:pPr>
              <w:pStyle w:val="12"/>
              <w:spacing w:before="5"/>
              <w:rPr>
                <w:b/>
                <w:sz w:val="24"/>
              </w:rPr>
            </w:pPr>
          </w:p>
          <w:p>
            <w:pPr>
              <w:pStyle w:val="12"/>
              <w:spacing w:before="1" w:line="255" w:lineRule="exact"/>
              <w:ind w:left="105"/>
              <w:rPr>
                <w:rFonts w:ascii="Calibri" w:eastAsia="Calibri"/>
                <w:sz w:val="21"/>
              </w:rPr>
            </w:pPr>
            <w:r>
              <w:rPr>
                <w:b/>
                <w:sz w:val="21"/>
              </w:rPr>
              <w:t xml:space="preserve">第二十一条 </w:t>
            </w:r>
            <w:r>
              <w:rPr>
                <w:sz w:val="21"/>
              </w:rPr>
              <w:t>在湿地保护范围内禁止下列行为</w:t>
            </w:r>
            <w:r>
              <w:rPr>
                <w:rFonts w:ascii="Calibri" w:eastAsia="Calibri"/>
                <w:sz w:val="21"/>
              </w:rPr>
              <w:t>:</w:t>
            </w:r>
          </w:p>
          <w:p>
            <w:pPr>
              <w:pStyle w:val="12"/>
              <w:spacing w:line="255" w:lineRule="exact"/>
              <w:ind w:left="105"/>
              <w:rPr>
                <w:sz w:val="21"/>
              </w:rPr>
            </w:pPr>
            <w:r>
              <w:rPr>
                <w:sz w:val="21"/>
              </w:rPr>
              <w:t>(一)倾倒和堆置废弃物、排放有毒有害物质或者超标废水；</w:t>
            </w:r>
          </w:p>
        </w:tc>
        <w:tc>
          <w:tcPr>
            <w:tcW w:w="2693" w:type="dxa"/>
            <w:vMerge w:val="continue"/>
            <w:tcBorders>
              <w:top w:val="nil"/>
              <w:left w:val="single" w:color="000000" w:sz="2" w:space="0"/>
              <w:bottom w:val="single" w:color="000000" w:sz="2" w:space="0"/>
              <w:right w:val="single" w:color="000000" w:sz="2" w:space="0"/>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670"/>
        <w:gridCol w:w="718"/>
        <w:gridCol w:w="1164"/>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114" w:type="dxa"/>
            <w:gridSpan w:val="2"/>
            <w:tcBorders>
              <w:bottom w:val="single" w:color="000000" w:sz="4" w:space="0"/>
            </w:tcBorders>
          </w:tcPr>
          <w:p>
            <w:pPr>
              <w:pStyle w:val="12"/>
              <w:spacing w:before="20" w:line="262" w:lineRule="exact"/>
              <w:ind w:left="345"/>
              <w:rPr>
                <w:b/>
                <w:sz w:val="21"/>
              </w:rPr>
            </w:pPr>
            <w:r>
              <w:rPr>
                <w:b/>
                <w:sz w:val="21"/>
              </w:rPr>
              <w:t>属性</w:t>
            </w:r>
          </w:p>
        </w:tc>
        <w:tc>
          <w:tcPr>
            <w:tcW w:w="1882" w:type="dxa"/>
            <w:gridSpan w:val="2"/>
            <w:tcBorders>
              <w:bottom w:val="single" w:color="000000" w:sz="4" w:space="0"/>
            </w:tcBorders>
          </w:tcPr>
          <w:p>
            <w:pPr>
              <w:pStyle w:val="12"/>
              <w:spacing w:before="32" w:line="250" w:lineRule="exact"/>
              <w:ind w:left="707" w:right="707"/>
              <w:jc w:val="center"/>
              <w:rPr>
                <w:b/>
                <w:sz w:val="21"/>
              </w:rPr>
            </w:pPr>
            <w:r>
              <w:rPr>
                <w:b/>
                <w:sz w:val="21"/>
              </w:rPr>
              <w:t>管控</w:t>
            </w:r>
          </w:p>
        </w:tc>
        <w:tc>
          <w:tcPr>
            <w:tcW w:w="16110" w:type="dxa"/>
            <w:tcBorders>
              <w:top w:val="single" w:color="000000" w:sz="4" w:space="0"/>
              <w:bottom w:val="single" w:color="000000" w:sz="4" w:space="0"/>
            </w:tcBorders>
          </w:tcPr>
          <w:p>
            <w:pPr>
              <w:pStyle w:val="12"/>
              <w:spacing w:before="13"/>
              <w:ind w:left="7400" w:right="7400"/>
              <w:jc w:val="center"/>
              <w:rPr>
                <w:b/>
                <w:sz w:val="21"/>
              </w:rPr>
            </w:pPr>
            <w:r>
              <w:rPr>
                <w:b/>
                <w:sz w:val="21"/>
              </w:rPr>
              <w:t>管控要求</w:t>
            </w:r>
          </w:p>
        </w:tc>
        <w:tc>
          <w:tcPr>
            <w:tcW w:w="2693" w:type="dxa"/>
          </w:tcPr>
          <w:p>
            <w:pPr>
              <w:pStyle w:val="12"/>
              <w:spacing w:before="32" w:line="250" w:lineRule="exact"/>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17"/>
              </w:rPr>
            </w:pPr>
          </w:p>
          <w:p>
            <w:pPr>
              <w:pStyle w:val="12"/>
              <w:spacing w:line="268" w:lineRule="auto"/>
              <w:ind w:left="107" w:right="117"/>
              <w:jc w:val="both"/>
              <w:rPr>
                <w:sz w:val="21"/>
              </w:rPr>
            </w:pPr>
            <w:r>
              <w:rPr>
                <w:sz w:val="21"/>
              </w:rPr>
              <w:t>自然保护地</w:t>
            </w:r>
          </w:p>
        </w:tc>
        <w:tc>
          <w:tcPr>
            <w:tcW w:w="67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5" w:line="266" w:lineRule="auto"/>
              <w:ind w:left="107" w:right="132"/>
              <w:rPr>
                <w:sz w:val="21"/>
              </w:rPr>
            </w:pPr>
            <w:r>
              <w:rPr>
                <w:sz w:val="21"/>
              </w:rPr>
              <w:t>森林公园</w:t>
            </w:r>
          </w:p>
        </w:tc>
        <w:tc>
          <w:tcPr>
            <w:tcW w:w="718" w:type="dxa"/>
            <w:vMerge w:val="restart"/>
            <w:tcBorders>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7"/>
              </w:rPr>
            </w:pPr>
          </w:p>
          <w:p>
            <w:pPr>
              <w:pStyle w:val="12"/>
              <w:spacing w:line="266" w:lineRule="auto"/>
              <w:ind w:left="107" w:right="15"/>
              <w:jc w:val="both"/>
              <w:rPr>
                <w:sz w:val="21"/>
              </w:rPr>
            </w:pPr>
            <w:r>
              <w:rPr>
                <w:sz w:val="21"/>
              </w:rPr>
              <w:t>国家级管控要求</w:t>
            </w: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spacing w:before="12"/>
              <w:rPr>
                <w:b/>
                <w:sz w:val="21"/>
              </w:rPr>
            </w:pPr>
          </w:p>
          <w:p>
            <w:pPr>
              <w:pStyle w:val="12"/>
              <w:spacing w:line="266"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16" w:line="300" w:lineRule="atLeast"/>
              <w:ind w:left="105" w:right="9478"/>
              <w:rPr>
                <w:sz w:val="21"/>
              </w:rPr>
            </w:pPr>
            <w:r>
              <w:rPr>
                <w:b/>
                <w:sz w:val="21"/>
              </w:rPr>
              <w:t>第二十三条</w:t>
            </w:r>
            <w:r>
              <w:rPr>
                <w:sz w:val="21"/>
              </w:rPr>
              <w:t>禁止毁林开垦和毁林采石、采砂、采土以及其他毁林行为。禁止在幼林地和特种用途林内砍柴、放牧。</w:t>
            </w:r>
          </w:p>
        </w:tc>
        <w:tc>
          <w:tcPr>
            <w:tcW w:w="2693" w:type="dxa"/>
          </w:tcPr>
          <w:p>
            <w:pPr>
              <w:pStyle w:val="12"/>
              <w:spacing w:before="7"/>
              <w:rPr>
                <w:b/>
                <w:sz w:val="16"/>
              </w:rPr>
            </w:pPr>
          </w:p>
          <w:p>
            <w:pPr>
              <w:pStyle w:val="12"/>
              <w:ind w:left="86" w:right="41"/>
              <w:jc w:val="center"/>
              <w:rPr>
                <w:sz w:val="21"/>
              </w:rPr>
            </w:pPr>
            <w:r>
              <w:rPr>
                <w:sz w:val="21"/>
              </w:rPr>
              <w:t>《中华人民共和国森林法》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66"/>
              <w:ind w:left="105"/>
              <w:rPr>
                <w:rFonts w:ascii="Calibri" w:eastAsia="Calibri"/>
                <w:sz w:val="21"/>
              </w:rPr>
            </w:pPr>
            <w:r>
              <w:rPr>
                <w:b/>
                <w:sz w:val="21"/>
              </w:rPr>
              <w:t>第十八条</w:t>
            </w:r>
            <w:r>
              <w:rPr>
                <w:sz w:val="21"/>
              </w:rPr>
              <w:t>在国家级森林公园内禁止从事下列活动</w:t>
            </w:r>
            <w:r>
              <w:rPr>
                <w:rFonts w:ascii="Calibri" w:eastAsia="Calibri"/>
                <w:sz w:val="21"/>
              </w:rPr>
              <w:t>:</w:t>
            </w:r>
          </w:p>
          <w:p>
            <w:pPr>
              <w:pStyle w:val="12"/>
              <w:spacing w:line="300" w:lineRule="atLeast"/>
              <w:ind w:left="105" w:right="-15"/>
              <w:rPr>
                <w:sz w:val="21"/>
              </w:rPr>
            </w:pPr>
            <w:r>
              <w:rPr>
                <w:rFonts w:ascii="Calibri" w:eastAsia="Calibri"/>
                <w:sz w:val="21"/>
              </w:rPr>
              <w:t>(</w:t>
            </w:r>
            <w:r>
              <w:rPr>
                <w:sz w:val="21"/>
              </w:rPr>
              <w:t>一</w:t>
            </w:r>
            <w:r>
              <w:rPr>
                <w:rFonts w:ascii="Calibri" w:eastAsia="Calibri"/>
                <w:sz w:val="21"/>
              </w:rPr>
              <w:t>)</w:t>
            </w:r>
            <w:r>
              <w:rPr>
                <w:spacing w:val="-8"/>
                <w:sz w:val="21"/>
              </w:rPr>
              <w:t>擅自采折、采挖花草、树木、药材等植物</w:t>
            </w:r>
            <w:r>
              <w:rPr>
                <w:rFonts w:ascii="Calibri" w:eastAsia="Calibri"/>
                <w:sz w:val="21"/>
              </w:rPr>
              <w:t>;(</w:t>
            </w:r>
            <w:r>
              <w:rPr>
                <w:sz w:val="21"/>
              </w:rPr>
              <w:t>二</w:t>
            </w:r>
            <w:r>
              <w:rPr>
                <w:rFonts w:ascii="Calibri" w:eastAsia="Calibri"/>
                <w:sz w:val="21"/>
              </w:rPr>
              <w:t>)</w:t>
            </w:r>
            <w:r>
              <w:rPr>
                <w:spacing w:val="-5"/>
                <w:sz w:val="21"/>
              </w:rPr>
              <w:t>非法猎捕、杀害野生动物</w:t>
            </w:r>
            <w:r>
              <w:rPr>
                <w:rFonts w:ascii="Calibri" w:eastAsia="Calibri"/>
                <w:sz w:val="21"/>
              </w:rPr>
              <w:t>;(</w:t>
            </w:r>
            <w:r>
              <w:rPr>
                <w:spacing w:val="-3"/>
                <w:sz w:val="21"/>
              </w:rPr>
              <w:t>三</w:t>
            </w:r>
            <w:r>
              <w:rPr>
                <w:rFonts w:ascii="Calibri" w:eastAsia="Calibri"/>
                <w:sz w:val="21"/>
              </w:rPr>
              <w:t>)</w:t>
            </w:r>
            <w:r>
              <w:rPr>
                <w:spacing w:val="-7"/>
                <w:sz w:val="21"/>
              </w:rPr>
              <w:t>刻划、污损树木、岩石和文物古迹及葬坟</w:t>
            </w:r>
            <w:r>
              <w:rPr>
                <w:rFonts w:ascii="Calibri" w:eastAsia="Calibri"/>
                <w:sz w:val="21"/>
              </w:rPr>
              <w:t>;(</w:t>
            </w:r>
            <w:r>
              <w:rPr>
                <w:sz w:val="21"/>
              </w:rPr>
              <w:t>四</w:t>
            </w:r>
            <w:r>
              <w:rPr>
                <w:rFonts w:ascii="Calibri" w:eastAsia="Calibri"/>
                <w:sz w:val="21"/>
              </w:rPr>
              <w:t>)</w:t>
            </w:r>
            <w:r>
              <w:rPr>
                <w:spacing w:val="-3"/>
                <w:sz w:val="21"/>
              </w:rPr>
              <w:t>损毁或者擅自移动园内设施</w:t>
            </w:r>
            <w:r>
              <w:rPr>
                <w:rFonts w:ascii="Calibri" w:eastAsia="Calibri"/>
                <w:sz w:val="21"/>
              </w:rPr>
              <w:t>;(</w:t>
            </w:r>
            <w:r>
              <w:rPr>
                <w:spacing w:val="-3"/>
                <w:sz w:val="21"/>
              </w:rPr>
              <w:t>五</w:t>
            </w:r>
            <w:r>
              <w:rPr>
                <w:rFonts w:ascii="Calibri" w:eastAsia="Calibri"/>
                <w:sz w:val="21"/>
              </w:rPr>
              <w:t>)</w:t>
            </w:r>
            <w:r>
              <w:rPr>
                <w:spacing w:val="-3"/>
                <w:sz w:val="21"/>
              </w:rPr>
              <w:t xml:space="preserve">未经处理直接排放 </w:t>
            </w:r>
            <w:r>
              <w:rPr>
                <w:spacing w:val="-8"/>
                <w:sz w:val="21"/>
              </w:rPr>
              <w:t>生活污水和超标准的废水、废气，乱倒垃圾、废渣、废物及其他污染物</w:t>
            </w:r>
            <w:r>
              <w:rPr>
                <w:rFonts w:ascii="Calibri" w:eastAsia="Calibri"/>
                <w:sz w:val="21"/>
              </w:rPr>
              <w:t>;(</w:t>
            </w:r>
            <w:r>
              <w:rPr>
                <w:spacing w:val="-3"/>
                <w:sz w:val="21"/>
              </w:rPr>
              <w:t>六</w:t>
            </w:r>
            <w:r>
              <w:rPr>
                <w:rFonts w:ascii="Calibri" w:eastAsia="Calibri"/>
                <w:sz w:val="21"/>
              </w:rPr>
              <w:t>)</w:t>
            </w:r>
            <w:r>
              <w:rPr>
                <w:spacing w:val="-5"/>
                <w:sz w:val="21"/>
              </w:rPr>
              <w:t>在非指定的吸烟区吸烟和在非指定区域野外用火、焚烧香蜡纸烛、燃放烟花爆竹</w:t>
            </w:r>
            <w:r>
              <w:rPr>
                <w:rFonts w:ascii="Calibri" w:eastAsia="Calibri"/>
                <w:sz w:val="21"/>
              </w:rPr>
              <w:t>;(</w:t>
            </w:r>
            <w:r>
              <w:rPr>
                <w:spacing w:val="-3"/>
                <w:sz w:val="21"/>
              </w:rPr>
              <w:t>七</w:t>
            </w:r>
            <w:r>
              <w:rPr>
                <w:rFonts w:ascii="Calibri" w:eastAsia="Calibri"/>
                <w:sz w:val="21"/>
              </w:rPr>
              <w:t>)</w:t>
            </w:r>
            <w:r>
              <w:rPr>
                <w:spacing w:val="-3"/>
                <w:sz w:val="21"/>
              </w:rPr>
              <w:t>擅自摆摊设点、兜售物品</w:t>
            </w:r>
            <w:r>
              <w:rPr>
                <w:rFonts w:ascii="Calibri" w:eastAsia="Calibri"/>
                <w:sz w:val="21"/>
              </w:rPr>
              <w:t>;(</w:t>
            </w:r>
            <w:r>
              <w:rPr>
                <w:sz w:val="21"/>
              </w:rPr>
              <w:t>八</w:t>
            </w:r>
            <w:r>
              <w:rPr>
                <w:rFonts w:ascii="Calibri" w:eastAsia="Calibri"/>
                <w:sz w:val="21"/>
              </w:rPr>
              <w:t>)</w:t>
            </w:r>
            <w:r>
              <w:rPr>
                <w:spacing w:val="-3"/>
                <w:sz w:val="21"/>
              </w:rPr>
              <w:t>擅自围、填、堵、截自然水系</w:t>
            </w:r>
            <w:r>
              <w:rPr>
                <w:rFonts w:ascii="Calibri" w:eastAsia="Calibri"/>
                <w:sz w:val="21"/>
              </w:rPr>
              <w:t>;(</w:t>
            </w:r>
            <w:r>
              <w:rPr>
                <w:spacing w:val="-3"/>
                <w:sz w:val="21"/>
              </w:rPr>
              <w:t>九</w:t>
            </w:r>
            <w:r>
              <w:rPr>
                <w:rFonts w:ascii="Calibri" w:eastAsia="Calibri"/>
                <w:sz w:val="21"/>
              </w:rPr>
              <w:t>)</w:t>
            </w:r>
            <w:r>
              <w:rPr>
                <w:spacing w:val="-3"/>
                <w:sz w:val="21"/>
              </w:rPr>
              <w:t>法律、法规、规章禁止的其他活动。</w:t>
            </w:r>
          </w:p>
        </w:tc>
        <w:tc>
          <w:tcPr>
            <w:tcW w:w="2693" w:type="dxa"/>
            <w:tcBorders>
              <w:bottom w:val="single" w:color="000000" w:sz="4" w:space="0"/>
            </w:tcBorders>
          </w:tcPr>
          <w:p>
            <w:pPr>
              <w:pStyle w:val="12"/>
              <w:spacing w:before="7"/>
              <w:rPr>
                <w:b/>
                <w:sz w:val="28"/>
              </w:rPr>
            </w:pPr>
          </w:p>
          <w:p>
            <w:pPr>
              <w:pStyle w:val="12"/>
              <w:spacing w:line="266" w:lineRule="auto"/>
              <w:ind w:left="1132" w:right="186" w:hanging="946"/>
              <w:rPr>
                <w:sz w:val="21"/>
              </w:rPr>
            </w:pPr>
            <w:r>
              <w:rPr>
                <w:sz w:val="21"/>
              </w:rPr>
              <w:t>《国家级森林公园管理办法》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44" w:line="300" w:lineRule="atLeast"/>
              <w:ind w:left="105" w:right="100"/>
              <w:jc w:val="both"/>
              <w:rPr>
                <w:sz w:val="21"/>
              </w:rPr>
            </w:pPr>
            <w:r>
              <w:rPr>
                <w:b/>
                <w:sz w:val="21"/>
              </w:rPr>
              <w:t>（四</w:t>
            </w:r>
            <w:r>
              <w:rPr>
                <w:b/>
                <w:spacing w:val="-8"/>
                <w:sz w:val="21"/>
              </w:rPr>
              <w:t>）</w:t>
            </w:r>
            <w:r>
              <w:rPr>
                <w:spacing w:val="-9"/>
                <w:sz w:val="21"/>
              </w:rPr>
              <w:t>国家级森林公园内原则上禁止建设高尔夫球场、垃圾处理场、房地产、私人会所、工业园区、开发区、工厂、光伏发电、风力发电、抽水蓄能电站、非森林公园自用的</w:t>
            </w:r>
            <w:r>
              <w:rPr>
                <w:spacing w:val="-10"/>
                <w:sz w:val="21"/>
              </w:rPr>
              <w:t>水力发电项目，禁止开展开矿、开垦、挖沙、采石、取土以及商业性探矿勘查活动，禁止从事其他污染环境、破坏自然资源或自然景观的活动，禁止在开发建设中使用未经检</w:t>
            </w:r>
            <w:r>
              <w:rPr>
                <w:spacing w:val="-5"/>
                <w:sz w:val="21"/>
              </w:rPr>
              <w:t>疫的木材、木制品包装材料和木制电</w:t>
            </w:r>
            <w:r>
              <w:rPr>
                <w:sz w:val="21"/>
              </w:rPr>
              <w:t>（</w:t>
            </w:r>
            <w:r>
              <w:rPr>
                <w:spacing w:val="-3"/>
                <w:sz w:val="21"/>
              </w:rPr>
              <w:t>光</w:t>
            </w:r>
            <w:r>
              <w:rPr>
                <w:sz w:val="21"/>
              </w:rPr>
              <w:t>）</w:t>
            </w:r>
            <w:r>
              <w:rPr>
                <w:spacing w:val="-2"/>
                <w:sz w:val="21"/>
              </w:rPr>
              <w:t>缆盘。</w:t>
            </w:r>
          </w:p>
        </w:tc>
        <w:tc>
          <w:tcPr>
            <w:tcW w:w="2693" w:type="dxa"/>
            <w:tcBorders>
              <w:top w:val="single" w:color="000000" w:sz="4" w:space="0"/>
              <w:bottom w:val="single" w:color="000000" w:sz="4" w:space="0"/>
            </w:tcBorders>
          </w:tcPr>
          <w:p>
            <w:pPr>
              <w:pStyle w:val="12"/>
              <w:spacing w:before="44" w:line="300" w:lineRule="atLeast"/>
              <w:ind w:left="187" w:right="186"/>
              <w:jc w:val="center"/>
              <w:rPr>
                <w:sz w:val="21"/>
              </w:rPr>
            </w:pPr>
            <w:r>
              <w:rPr>
                <w:sz w:val="21"/>
              </w:rPr>
              <w:t>《国家林业局关于进一步加强国家级森林公园管理的通知》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4"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4"/>
              </w:rPr>
            </w:pPr>
          </w:p>
          <w:p>
            <w:pPr>
              <w:pStyle w:val="12"/>
              <w:spacing w:line="266" w:lineRule="auto"/>
              <w:ind w:left="102" w:right="209"/>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97" w:line="242" w:lineRule="auto"/>
              <w:ind w:left="105" w:right="98"/>
              <w:rPr>
                <w:sz w:val="21"/>
              </w:rPr>
            </w:pPr>
            <w:r>
              <w:rPr>
                <w:b/>
                <w:sz w:val="21"/>
              </w:rPr>
              <w:t xml:space="preserve">第十三条 </w:t>
            </w:r>
            <w:r>
              <w:rPr>
                <w:sz w:val="21"/>
              </w:rPr>
              <w:t>国家级森林公园内的建设项目应当符合总体规划的要求，其选址、规模、风格和色彩等应当与周边景观与环境相协调，相应的废水、废物处理和防火设施应当同时设计、同时施工、同时使用。</w:t>
            </w:r>
          </w:p>
          <w:p>
            <w:pPr>
              <w:pStyle w:val="12"/>
              <w:spacing w:before="30" w:line="266" w:lineRule="auto"/>
              <w:ind w:left="105" w:right="184"/>
              <w:rPr>
                <w:sz w:val="21"/>
              </w:rPr>
            </w:pPr>
            <w:r>
              <w:rPr>
                <w:b/>
                <w:spacing w:val="-1"/>
                <w:sz w:val="21"/>
              </w:rPr>
              <w:t xml:space="preserve">第十五条 </w:t>
            </w:r>
            <w:r>
              <w:rPr>
                <w:spacing w:val="-3"/>
                <w:sz w:val="21"/>
              </w:rPr>
              <w:t>严格控制建设项目使用国家级森林公园林地，但是因保护森林及其他风景资源、建设森林防火设施和林业生态文化示范基地、保障游客安全等直接为林业生产服务的工程设施除外。</w:t>
            </w:r>
          </w:p>
          <w:p>
            <w:pPr>
              <w:pStyle w:val="12"/>
              <w:spacing w:before="3" w:line="266" w:lineRule="auto"/>
              <w:ind w:left="105" w:right="-15"/>
              <w:rPr>
                <w:sz w:val="21"/>
              </w:rPr>
            </w:pPr>
            <w:r>
              <w:rPr>
                <w:b/>
                <w:spacing w:val="-2"/>
                <w:sz w:val="21"/>
              </w:rPr>
              <w:t xml:space="preserve">第十九条 </w:t>
            </w:r>
            <w:r>
              <w:rPr>
                <w:spacing w:val="-4"/>
                <w:sz w:val="21"/>
              </w:rPr>
              <w:t xml:space="preserve">在国家级森林公园内开展影视拍摄或者大型文艺演出等活动的，国家级森林公园经营管理机构应当根据承办单位的活动计划对森林公园景观与生态的影响进行评估， </w:t>
            </w:r>
            <w:r>
              <w:rPr>
                <w:spacing w:val="-3"/>
                <w:sz w:val="21"/>
              </w:rPr>
              <w:t>并报省、自治区、直辖市人民政府林业主管部门备案。</w:t>
            </w:r>
          </w:p>
          <w:p>
            <w:pPr>
              <w:pStyle w:val="12"/>
              <w:spacing w:before="3" w:line="266" w:lineRule="auto"/>
              <w:ind w:left="105" w:right="179"/>
              <w:rPr>
                <w:sz w:val="21"/>
              </w:rPr>
            </w:pPr>
            <w:r>
              <w:rPr>
                <w:spacing w:val="-3"/>
                <w:sz w:val="21"/>
              </w:rPr>
              <w:t>国家级森林公园经营管理机构应当监督承办单位按照备案的活动计划开展影视拍摄或者大型文艺演出等活动</w:t>
            </w:r>
            <w:r>
              <w:rPr>
                <w:rFonts w:ascii="Calibri" w:eastAsia="Calibri"/>
                <w:sz w:val="21"/>
              </w:rPr>
              <w:t>;</w:t>
            </w:r>
            <w:r>
              <w:rPr>
                <w:spacing w:val="-3"/>
                <w:sz w:val="21"/>
              </w:rPr>
              <w:t>对所搭建的临时设施，承办单位应当在国家级森林公园经营管理机构规定的期限内拆除，并恢复原状。</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spacing w:before="11"/>
              <w:rPr>
                <w:b/>
                <w:sz w:val="17"/>
              </w:rPr>
            </w:pPr>
          </w:p>
          <w:p>
            <w:pPr>
              <w:pStyle w:val="12"/>
              <w:spacing w:line="266" w:lineRule="auto"/>
              <w:ind w:left="1132" w:right="186" w:hanging="946"/>
              <w:rPr>
                <w:sz w:val="21"/>
              </w:rPr>
            </w:pPr>
            <w:r>
              <w:rPr>
                <w:sz w:val="21"/>
              </w:rPr>
              <w:t>《国家级森林公园管理办法》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85"/>
              <w:ind w:left="105"/>
              <w:rPr>
                <w:rFonts w:ascii="Calibri" w:eastAsia="Calibri"/>
                <w:sz w:val="21"/>
              </w:rPr>
            </w:pPr>
            <w:r>
              <w:rPr>
                <w:b/>
                <w:sz w:val="21"/>
              </w:rPr>
              <w:t xml:space="preserve">第八条 </w:t>
            </w:r>
            <w:r>
              <w:rPr>
                <w:sz w:val="21"/>
              </w:rPr>
              <w:t>国家级森林公园总体规划，应当突出森林风景资源的自然特性、文化内涵和地方特色，并符合下列要求</w:t>
            </w:r>
            <w:r>
              <w:rPr>
                <w:rFonts w:ascii="Calibri" w:eastAsia="Calibri"/>
                <w:sz w:val="21"/>
              </w:rPr>
              <w:t>:</w:t>
            </w:r>
          </w:p>
          <w:p>
            <w:pPr>
              <w:pStyle w:val="12"/>
              <w:spacing w:before="2"/>
              <w:ind w:left="105"/>
              <w:rPr>
                <w:rFonts w:ascii="Calibri" w:eastAsia="Calibri"/>
                <w:sz w:val="21"/>
              </w:rPr>
            </w:pPr>
            <w:r>
              <w:rPr>
                <w:sz w:val="21"/>
              </w:rPr>
              <w:t>（四）以自然景观为主，严格控制人造景点的设置</w:t>
            </w:r>
            <w:r>
              <w:rPr>
                <w:rFonts w:ascii="Calibri" w:eastAsia="Calibri"/>
                <w:sz w:val="21"/>
              </w:rPr>
              <w:t>;</w:t>
            </w:r>
          </w:p>
          <w:p>
            <w:pPr>
              <w:pStyle w:val="12"/>
              <w:spacing w:before="2"/>
              <w:ind w:left="105"/>
              <w:rPr>
                <w:sz w:val="21"/>
              </w:rPr>
            </w:pPr>
            <w:r>
              <w:rPr>
                <w:sz w:val="21"/>
              </w:rPr>
              <w:t>（五）严格控制滑雪场、索道等对景观和环境有较大影响的项目建设。</w:t>
            </w:r>
          </w:p>
        </w:tc>
        <w:tc>
          <w:tcPr>
            <w:tcW w:w="2693" w:type="dxa"/>
            <w:tcBorders>
              <w:top w:val="single" w:color="000000" w:sz="4" w:space="0"/>
              <w:bottom w:val="single" w:color="000000" w:sz="4" w:space="0"/>
            </w:tcBorders>
          </w:tcPr>
          <w:p>
            <w:pPr>
              <w:pStyle w:val="12"/>
              <w:spacing w:before="29" w:line="266" w:lineRule="auto"/>
              <w:ind w:left="105" w:right="266"/>
              <w:rPr>
                <w:sz w:val="21"/>
              </w:rPr>
            </w:pPr>
            <w:r>
              <w:rPr>
                <w:sz w:val="21"/>
              </w:rPr>
              <w:t>《国家级森林公园管理办法》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spacing w:line="300" w:lineRule="exact"/>
              <w:ind w:left="102" w:right="209"/>
              <w:jc w:val="both"/>
              <w:rPr>
                <w:sz w:val="21"/>
              </w:rPr>
            </w:pPr>
            <w:r>
              <w:rPr>
                <w:sz w:val="21"/>
              </w:rPr>
              <w:t>不符合空间布局要求活动的退出要求</w:t>
            </w:r>
          </w:p>
        </w:tc>
        <w:tc>
          <w:tcPr>
            <w:tcW w:w="16110" w:type="dxa"/>
            <w:tcBorders>
              <w:top w:val="single" w:color="000000" w:sz="4" w:space="0"/>
              <w:bottom w:val="single" w:color="000000" w:sz="4" w:space="0"/>
            </w:tcBorders>
          </w:tcPr>
          <w:p>
            <w:pPr>
              <w:pStyle w:val="12"/>
              <w:rPr>
                <w:b/>
                <w:sz w:val="20"/>
              </w:rPr>
            </w:pPr>
          </w:p>
          <w:p>
            <w:pPr>
              <w:pStyle w:val="12"/>
              <w:spacing w:before="4"/>
              <w:rPr>
                <w:b/>
                <w:sz w:val="17"/>
              </w:rPr>
            </w:pPr>
          </w:p>
          <w:p>
            <w:pPr>
              <w:pStyle w:val="12"/>
              <w:spacing w:before="1"/>
              <w:ind w:left="105"/>
              <w:rPr>
                <w:sz w:val="21"/>
              </w:rPr>
            </w:pPr>
            <w:r>
              <w:rPr>
                <w:b/>
                <w:sz w:val="21"/>
              </w:rPr>
              <w:t>第十三条</w:t>
            </w:r>
            <w:r>
              <w:rPr>
                <w:sz w:val="21"/>
              </w:rPr>
              <w:t>国家级森林公园内已建或者在建的建设项目不符合总体规划要求的，应当按照总体规划逐步进行改造、拆除或者迁出。</w:t>
            </w:r>
          </w:p>
        </w:tc>
        <w:tc>
          <w:tcPr>
            <w:tcW w:w="2693" w:type="dxa"/>
            <w:tcBorders>
              <w:top w:val="single" w:color="000000" w:sz="4" w:space="0"/>
              <w:bottom w:val="single" w:color="000000" w:sz="4" w:space="0"/>
            </w:tcBorders>
          </w:tcPr>
          <w:p>
            <w:pPr>
              <w:pStyle w:val="12"/>
              <w:spacing w:before="30" w:line="266" w:lineRule="auto"/>
              <w:ind w:left="105" w:right="266"/>
              <w:rPr>
                <w:sz w:val="21"/>
              </w:rPr>
            </w:pPr>
            <w:r>
              <w:rPr>
                <w:sz w:val="21"/>
              </w:rPr>
              <w:t>《国家级森林公园管理办法》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spacing w:line="300" w:lineRule="exact"/>
              <w:ind w:left="102" w:right="209"/>
              <w:rPr>
                <w:sz w:val="21"/>
              </w:rPr>
            </w:pPr>
            <w:r>
              <w:rPr>
                <w:sz w:val="21"/>
              </w:rPr>
              <w:t>污染物排放管控</w:t>
            </w:r>
          </w:p>
        </w:tc>
        <w:tc>
          <w:tcPr>
            <w:tcW w:w="16110" w:type="dxa"/>
            <w:tcBorders>
              <w:top w:val="single" w:color="000000" w:sz="4" w:space="0"/>
              <w:bottom w:val="single" w:color="000000" w:sz="4" w:space="0"/>
            </w:tcBorders>
          </w:tcPr>
          <w:p>
            <w:pPr>
              <w:pStyle w:val="12"/>
              <w:spacing w:before="30"/>
              <w:ind w:left="105"/>
              <w:rPr>
                <w:rFonts w:ascii="Calibri" w:eastAsia="Calibri"/>
                <w:sz w:val="21"/>
              </w:rPr>
            </w:pPr>
            <w:r>
              <w:rPr>
                <w:b/>
                <w:sz w:val="21"/>
              </w:rPr>
              <w:t>第十八条</w:t>
            </w:r>
            <w:r>
              <w:rPr>
                <w:sz w:val="21"/>
              </w:rPr>
              <w:t>在国家级森林公园内禁止从事下列活动</w:t>
            </w:r>
            <w:r>
              <w:rPr>
                <w:rFonts w:ascii="Calibri" w:eastAsia="Calibri"/>
                <w:sz w:val="21"/>
              </w:rPr>
              <w:t>:</w:t>
            </w:r>
          </w:p>
          <w:p>
            <w:pPr>
              <w:pStyle w:val="12"/>
              <w:spacing w:before="30" w:line="250" w:lineRule="exact"/>
              <w:ind w:left="105"/>
              <w:rPr>
                <w:sz w:val="21"/>
              </w:rPr>
            </w:pPr>
            <w:r>
              <w:rPr>
                <w:sz w:val="21"/>
              </w:rPr>
              <w:t>(五)森林公园内禁止未经处理直接排放生活污水和超标准的废水、废气，乱倒垃圾、废渣、废物及其他污染物。</w:t>
            </w:r>
          </w:p>
        </w:tc>
        <w:tc>
          <w:tcPr>
            <w:tcW w:w="2693" w:type="dxa"/>
            <w:tcBorders>
              <w:top w:val="single" w:color="000000" w:sz="4" w:space="0"/>
              <w:bottom w:val="single" w:color="000000" w:sz="4" w:space="0"/>
            </w:tcBorders>
          </w:tcPr>
          <w:p>
            <w:pPr>
              <w:pStyle w:val="12"/>
              <w:spacing w:line="300" w:lineRule="exact"/>
              <w:ind w:left="105" w:right="266"/>
              <w:rPr>
                <w:sz w:val="21"/>
              </w:rPr>
            </w:pPr>
            <w:r>
              <w:rPr>
                <w:sz w:val="21"/>
              </w:rPr>
              <w:t>《国家级森林公园管理办法》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spacing w:before="29"/>
              <w:ind w:left="102"/>
              <w:rPr>
                <w:sz w:val="21"/>
              </w:rPr>
            </w:pPr>
            <w:r>
              <w:rPr>
                <w:sz w:val="21"/>
              </w:rPr>
              <w:t>资源开发</w:t>
            </w:r>
          </w:p>
          <w:p>
            <w:pPr>
              <w:pStyle w:val="12"/>
              <w:spacing w:before="31" w:line="250" w:lineRule="exact"/>
              <w:ind w:left="102"/>
              <w:rPr>
                <w:sz w:val="21"/>
              </w:rPr>
            </w:pPr>
            <w:r>
              <w:rPr>
                <w:sz w:val="21"/>
              </w:rPr>
              <w:t>效率</w:t>
            </w:r>
          </w:p>
        </w:tc>
        <w:tc>
          <w:tcPr>
            <w:tcW w:w="16110" w:type="dxa"/>
            <w:tcBorders>
              <w:top w:val="single" w:color="000000" w:sz="4" w:space="0"/>
              <w:bottom w:val="single" w:color="000000" w:sz="4" w:space="0"/>
            </w:tcBorders>
          </w:tcPr>
          <w:p>
            <w:pPr>
              <w:pStyle w:val="12"/>
              <w:spacing w:before="15"/>
              <w:ind w:left="105"/>
              <w:rPr>
                <w:sz w:val="21"/>
              </w:rPr>
            </w:pPr>
            <w:r>
              <w:rPr>
                <w:b/>
                <w:sz w:val="21"/>
              </w:rPr>
              <w:t>第十七条</w:t>
            </w:r>
            <w:r>
              <w:rPr>
                <w:sz w:val="21"/>
              </w:rPr>
              <w:t>国家级森林公园经营管理机构应当加强对重要森林风景资源的监测，必要时，可以划定重点保护区域。</w:t>
            </w:r>
          </w:p>
          <w:p>
            <w:pPr>
              <w:pStyle w:val="12"/>
              <w:spacing w:before="31" w:line="264" w:lineRule="exact"/>
              <w:ind w:left="105"/>
              <w:rPr>
                <w:sz w:val="21"/>
              </w:rPr>
            </w:pPr>
            <w:r>
              <w:rPr>
                <w:b/>
                <w:sz w:val="21"/>
              </w:rPr>
              <w:t xml:space="preserve">第二十五条 </w:t>
            </w:r>
            <w:r>
              <w:rPr>
                <w:sz w:val="21"/>
              </w:rPr>
              <w:t>国家级森林公园经营管理机构应当根据国家级森林公园总体规划确定的游客容量组织安排旅游活动，不得超过最大游客容量接待旅游者。</w:t>
            </w:r>
          </w:p>
        </w:tc>
        <w:tc>
          <w:tcPr>
            <w:tcW w:w="2693" w:type="dxa"/>
            <w:tcBorders>
              <w:top w:val="single" w:color="000000" w:sz="4" w:space="0"/>
              <w:bottom w:val="single" w:color="000000" w:sz="4" w:space="0"/>
            </w:tcBorders>
          </w:tcPr>
          <w:p>
            <w:pPr>
              <w:pStyle w:val="12"/>
              <w:spacing w:before="29"/>
              <w:ind w:left="105"/>
              <w:rPr>
                <w:sz w:val="21"/>
              </w:rPr>
            </w:pPr>
            <w:r>
              <w:rPr>
                <w:sz w:val="21"/>
              </w:rPr>
              <w:t>《国家级森林公园管理办</w:t>
            </w:r>
          </w:p>
          <w:p>
            <w:pPr>
              <w:pStyle w:val="12"/>
              <w:spacing w:before="31" w:line="250" w:lineRule="exact"/>
              <w:ind w:left="105"/>
              <w:rPr>
                <w:sz w:val="21"/>
              </w:rPr>
            </w:pPr>
            <w:r>
              <w:rPr>
                <w:sz w:val="21"/>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spacing w:before="29"/>
              <w:ind w:left="102"/>
              <w:rPr>
                <w:sz w:val="21"/>
              </w:rPr>
            </w:pPr>
            <w:r>
              <w:rPr>
                <w:sz w:val="21"/>
              </w:rPr>
              <w:t>环境风险</w:t>
            </w:r>
          </w:p>
          <w:p>
            <w:pPr>
              <w:pStyle w:val="12"/>
              <w:spacing w:before="31" w:line="250" w:lineRule="exact"/>
              <w:ind w:left="102"/>
              <w:rPr>
                <w:sz w:val="21"/>
              </w:rPr>
            </w:pPr>
            <w:r>
              <w:rPr>
                <w:sz w:val="21"/>
              </w:rPr>
              <w:t>管控</w:t>
            </w:r>
          </w:p>
        </w:tc>
        <w:tc>
          <w:tcPr>
            <w:tcW w:w="16110" w:type="dxa"/>
            <w:tcBorders>
              <w:top w:val="single" w:color="000000" w:sz="4" w:space="0"/>
              <w:bottom w:val="single" w:color="000000" w:sz="4" w:space="0"/>
            </w:tcBorders>
          </w:tcPr>
          <w:p>
            <w:pPr>
              <w:pStyle w:val="12"/>
              <w:spacing w:before="29"/>
              <w:ind w:left="105"/>
              <w:rPr>
                <w:sz w:val="21"/>
              </w:rPr>
            </w:pPr>
            <w:r>
              <w:rPr>
                <w:b/>
                <w:sz w:val="21"/>
              </w:rPr>
              <w:t xml:space="preserve">第二十四条 </w:t>
            </w:r>
            <w:r>
              <w:rPr>
                <w:sz w:val="21"/>
              </w:rPr>
              <w:t>国家级森林公园经营管理机构应当在危险地段设置安全防护设施和安全警示标识，制定突发事件应急预案。</w:t>
            </w:r>
          </w:p>
          <w:p>
            <w:pPr>
              <w:pStyle w:val="12"/>
              <w:spacing w:before="31" w:line="250" w:lineRule="exact"/>
              <w:ind w:left="105"/>
              <w:rPr>
                <w:sz w:val="21"/>
              </w:rPr>
            </w:pPr>
            <w:r>
              <w:rPr>
                <w:sz w:val="21"/>
              </w:rPr>
              <w:t>没有安全保障的区域，不得对公众开放。</w:t>
            </w:r>
          </w:p>
        </w:tc>
        <w:tc>
          <w:tcPr>
            <w:tcW w:w="2693" w:type="dxa"/>
            <w:tcBorders>
              <w:top w:val="single" w:color="000000" w:sz="4" w:space="0"/>
              <w:bottom w:val="single" w:color="000000" w:sz="4" w:space="0"/>
            </w:tcBorders>
          </w:tcPr>
          <w:p>
            <w:pPr>
              <w:pStyle w:val="12"/>
              <w:spacing w:before="29"/>
              <w:ind w:left="105"/>
              <w:rPr>
                <w:sz w:val="21"/>
              </w:rPr>
            </w:pPr>
            <w:r>
              <w:rPr>
                <w:sz w:val="21"/>
              </w:rPr>
              <w:t>《国家级森林公园管理办</w:t>
            </w:r>
          </w:p>
          <w:p>
            <w:pPr>
              <w:pStyle w:val="12"/>
              <w:spacing w:before="31" w:line="250" w:lineRule="exact"/>
              <w:ind w:left="105"/>
              <w:rPr>
                <w:sz w:val="21"/>
              </w:rPr>
            </w:pPr>
            <w:r>
              <w:rPr>
                <w:sz w:val="21"/>
              </w:rPr>
              <w:t>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restart"/>
            <w:tcBorders>
              <w:top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4"/>
              <w:rPr>
                <w:b/>
                <w:sz w:val="29"/>
              </w:rPr>
            </w:pPr>
          </w:p>
          <w:p>
            <w:pPr>
              <w:pStyle w:val="12"/>
              <w:spacing w:line="266" w:lineRule="auto"/>
              <w:ind w:left="107" w:right="178"/>
              <w:jc w:val="both"/>
              <w:rPr>
                <w:sz w:val="21"/>
              </w:rPr>
            </w:pPr>
            <w:r>
              <w:rPr>
                <w:sz w:val="21"/>
              </w:rPr>
              <w:t>省级管控要求</w:t>
            </w:r>
          </w:p>
        </w:tc>
        <w:tc>
          <w:tcPr>
            <w:tcW w:w="1164" w:type="dxa"/>
            <w:vMerge w:val="restart"/>
            <w:tcBorders>
              <w:top w:val="single" w:color="000000" w:sz="4" w:space="0"/>
              <w:left w:val="single" w:color="000000" w:sz="4" w:space="0"/>
              <w:bottom w:val="single" w:color="000000" w:sz="4" w:space="0"/>
            </w:tcBorders>
          </w:tcPr>
          <w:p>
            <w:pPr>
              <w:pStyle w:val="12"/>
              <w:spacing w:before="2"/>
              <w:rPr>
                <w:b/>
                <w:sz w:val="23"/>
              </w:rPr>
            </w:pPr>
          </w:p>
          <w:p>
            <w:pPr>
              <w:pStyle w:val="12"/>
              <w:spacing w:line="266"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82"/>
              <w:ind w:left="105"/>
              <w:rPr>
                <w:sz w:val="21"/>
              </w:rPr>
            </w:pPr>
            <w:r>
              <w:rPr>
                <w:b/>
                <w:sz w:val="21"/>
              </w:rPr>
              <w:t>第三十六条</w:t>
            </w:r>
            <w:r>
              <w:rPr>
                <w:sz w:val="21"/>
              </w:rPr>
              <w:t>在森林公园内禁止下列行为：</w:t>
            </w:r>
          </w:p>
          <w:p>
            <w:pPr>
              <w:pStyle w:val="12"/>
              <w:spacing w:before="32" w:line="266" w:lineRule="auto"/>
              <w:ind w:left="105" w:right="134"/>
              <w:rPr>
                <w:sz w:val="21"/>
              </w:rPr>
            </w:pPr>
            <w:r>
              <w:rPr>
                <w:spacing w:val="-3"/>
                <w:sz w:val="21"/>
              </w:rPr>
              <w:t>(一)损坏花草;(二)乱扔垃圾;(三)采挖花草、树根(兜);(四)污损、损坏林木及其标识、公共服务设施、设备;(五)燃放烟花爆竹、焚烧香蜡纸烛、在非吸烟区吸烟;(六)乱搭乱建建筑物、构筑物和乱拉乱接电源线;(七)新建、改建坟墓;(八)法律，法规禁止的其他行为。</w:t>
            </w:r>
          </w:p>
        </w:tc>
        <w:tc>
          <w:tcPr>
            <w:tcW w:w="2693"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21"/>
              </w:rPr>
            </w:pPr>
          </w:p>
          <w:p>
            <w:pPr>
              <w:pStyle w:val="12"/>
              <w:spacing w:line="266" w:lineRule="auto"/>
              <w:ind w:left="105" w:right="103"/>
              <w:rPr>
                <w:sz w:val="21"/>
              </w:rPr>
            </w:pPr>
            <w:r>
              <w:rPr>
                <w:sz w:val="21"/>
              </w:rPr>
              <w:t>《贵州省森林公园管理条例》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tabs>
                <w:tab w:val="left" w:pos="1369"/>
              </w:tabs>
              <w:spacing w:before="75"/>
              <w:ind w:left="105"/>
              <w:rPr>
                <w:sz w:val="21"/>
              </w:rPr>
            </w:pPr>
            <w:r>
              <w:rPr>
                <w:b/>
                <w:sz w:val="21"/>
              </w:rPr>
              <w:t>第二十二条</w:t>
            </w:r>
            <w:r>
              <w:rPr>
                <w:b/>
                <w:sz w:val="21"/>
              </w:rPr>
              <w:tab/>
            </w:r>
            <w:r>
              <w:rPr>
                <w:sz w:val="21"/>
              </w:rPr>
              <w:t>在</w:t>
            </w:r>
            <w:r>
              <w:rPr>
                <w:spacing w:val="-3"/>
                <w:sz w:val="21"/>
              </w:rPr>
              <w:t>森</w:t>
            </w:r>
            <w:r>
              <w:rPr>
                <w:sz w:val="21"/>
              </w:rPr>
              <w:t>林</w:t>
            </w:r>
            <w:r>
              <w:rPr>
                <w:spacing w:val="-3"/>
                <w:sz w:val="21"/>
              </w:rPr>
              <w:t>公园</w:t>
            </w:r>
            <w:r>
              <w:rPr>
                <w:sz w:val="21"/>
              </w:rPr>
              <w:t>内不</w:t>
            </w:r>
            <w:r>
              <w:rPr>
                <w:spacing w:val="-3"/>
                <w:sz w:val="21"/>
              </w:rPr>
              <w:t>得</w:t>
            </w:r>
            <w:r>
              <w:rPr>
                <w:sz w:val="21"/>
              </w:rPr>
              <w:t>修</w:t>
            </w:r>
            <w:r>
              <w:rPr>
                <w:spacing w:val="-3"/>
                <w:sz w:val="21"/>
              </w:rPr>
              <w:t>建</w:t>
            </w:r>
            <w:r>
              <w:rPr>
                <w:sz w:val="21"/>
              </w:rPr>
              <w:t>破</w:t>
            </w:r>
            <w:r>
              <w:rPr>
                <w:spacing w:val="-3"/>
                <w:sz w:val="21"/>
              </w:rPr>
              <w:t>坏</w:t>
            </w:r>
            <w:r>
              <w:rPr>
                <w:sz w:val="21"/>
              </w:rPr>
              <w:t>景</w:t>
            </w:r>
            <w:r>
              <w:rPr>
                <w:spacing w:val="-3"/>
                <w:sz w:val="21"/>
              </w:rPr>
              <w:t>观</w:t>
            </w:r>
            <w:r>
              <w:rPr>
                <w:sz w:val="21"/>
              </w:rPr>
              <w:t>、</w:t>
            </w:r>
            <w:r>
              <w:rPr>
                <w:spacing w:val="-3"/>
                <w:sz w:val="21"/>
              </w:rPr>
              <w:t>污</w:t>
            </w:r>
            <w:r>
              <w:rPr>
                <w:sz w:val="21"/>
              </w:rPr>
              <w:t>染环</w:t>
            </w:r>
            <w:r>
              <w:rPr>
                <w:spacing w:val="-3"/>
                <w:sz w:val="21"/>
              </w:rPr>
              <w:t>境</w:t>
            </w:r>
            <w:r>
              <w:rPr>
                <w:sz w:val="21"/>
              </w:rPr>
              <w:t>的</w:t>
            </w:r>
            <w:r>
              <w:rPr>
                <w:spacing w:val="-3"/>
                <w:sz w:val="21"/>
              </w:rPr>
              <w:t>工</w:t>
            </w:r>
            <w:r>
              <w:rPr>
                <w:sz w:val="21"/>
              </w:rPr>
              <w:t>程</w:t>
            </w:r>
            <w:r>
              <w:rPr>
                <w:spacing w:val="-3"/>
                <w:sz w:val="21"/>
              </w:rPr>
              <w:t>设</w:t>
            </w:r>
            <w:r>
              <w:rPr>
                <w:sz w:val="21"/>
              </w:rPr>
              <w:t>施</w:t>
            </w:r>
            <w:r>
              <w:rPr>
                <w:spacing w:val="-3"/>
                <w:sz w:val="21"/>
              </w:rPr>
              <w:t>。</w:t>
            </w:r>
            <w:r>
              <w:rPr>
                <w:sz w:val="21"/>
              </w:rPr>
              <w:t>重</w:t>
            </w:r>
            <w:r>
              <w:rPr>
                <w:spacing w:val="-3"/>
                <w:sz w:val="21"/>
              </w:rPr>
              <w:t>点</w:t>
            </w:r>
            <w:r>
              <w:rPr>
                <w:sz w:val="21"/>
              </w:rPr>
              <w:t>景区</w:t>
            </w:r>
            <w:r>
              <w:rPr>
                <w:spacing w:val="-3"/>
                <w:sz w:val="21"/>
              </w:rPr>
              <w:t>和</w:t>
            </w:r>
            <w:r>
              <w:rPr>
                <w:sz w:val="21"/>
              </w:rPr>
              <w:t>景</w:t>
            </w:r>
            <w:r>
              <w:rPr>
                <w:spacing w:val="-3"/>
                <w:sz w:val="21"/>
              </w:rPr>
              <w:t>点</w:t>
            </w:r>
            <w:r>
              <w:rPr>
                <w:sz w:val="21"/>
              </w:rPr>
              <w:t>周</w:t>
            </w:r>
            <w:r>
              <w:rPr>
                <w:spacing w:val="-3"/>
                <w:sz w:val="21"/>
              </w:rPr>
              <w:t>围</w:t>
            </w:r>
            <w:r>
              <w:rPr>
                <w:sz w:val="21"/>
              </w:rPr>
              <w:t>，</w:t>
            </w:r>
            <w:r>
              <w:rPr>
                <w:spacing w:val="-3"/>
                <w:sz w:val="21"/>
              </w:rPr>
              <w:t>除</w:t>
            </w:r>
            <w:r>
              <w:rPr>
                <w:sz w:val="21"/>
              </w:rPr>
              <w:t>必</w:t>
            </w:r>
            <w:r>
              <w:rPr>
                <w:spacing w:val="-3"/>
                <w:sz w:val="21"/>
              </w:rPr>
              <w:t>要</w:t>
            </w:r>
            <w:r>
              <w:rPr>
                <w:sz w:val="21"/>
              </w:rPr>
              <w:t>的保</w:t>
            </w:r>
            <w:r>
              <w:rPr>
                <w:spacing w:val="-3"/>
                <w:sz w:val="21"/>
              </w:rPr>
              <w:t>护</w:t>
            </w:r>
            <w:r>
              <w:rPr>
                <w:sz w:val="21"/>
              </w:rPr>
              <w:t>和</w:t>
            </w:r>
            <w:r>
              <w:rPr>
                <w:spacing w:val="-3"/>
                <w:sz w:val="21"/>
              </w:rPr>
              <w:t>辅</w:t>
            </w:r>
            <w:r>
              <w:rPr>
                <w:sz w:val="21"/>
              </w:rPr>
              <w:t>助</w:t>
            </w:r>
            <w:r>
              <w:rPr>
                <w:spacing w:val="-3"/>
                <w:sz w:val="21"/>
              </w:rPr>
              <w:t>设</w:t>
            </w:r>
            <w:r>
              <w:rPr>
                <w:sz w:val="21"/>
              </w:rPr>
              <w:t>施</w:t>
            </w:r>
            <w:r>
              <w:rPr>
                <w:spacing w:val="-3"/>
                <w:sz w:val="21"/>
              </w:rPr>
              <w:t>外</w:t>
            </w:r>
            <w:r>
              <w:rPr>
                <w:sz w:val="21"/>
              </w:rPr>
              <w:t>，</w:t>
            </w:r>
            <w:r>
              <w:rPr>
                <w:spacing w:val="-3"/>
                <w:sz w:val="21"/>
              </w:rPr>
              <w:t>不</w:t>
            </w:r>
            <w:r>
              <w:rPr>
                <w:sz w:val="21"/>
              </w:rPr>
              <w:t>得修</w:t>
            </w:r>
            <w:r>
              <w:rPr>
                <w:spacing w:val="-3"/>
                <w:sz w:val="21"/>
              </w:rPr>
              <w:t>建</w:t>
            </w:r>
            <w:r>
              <w:rPr>
                <w:sz w:val="21"/>
              </w:rPr>
              <w:t>其</w:t>
            </w:r>
            <w:r>
              <w:rPr>
                <w:spacing w:val="-3"/>
                <w:sz w:val="21"/>
              </w:rPr>
              <w:t>他</w:t>
            </w:r>
            <w:r>
              <w:rPr>
                <w:sz w:val="21"/>
              </w:rPr>
              <w:t>工</w:t>
            </w:r>
            <w:r>
              <w:rPr>
                <w:spacing w:val="-3"/>
                <w:sz w:val="21"/>
              </w:rPr>
              <w:t>程</w:t>
            </w:r>
            <w:r>
              <w:rPr>
                <w:sz w:val="21"/>
              </w:rPr>
              <w:t>设</w:t>
            </w:r>
            <w:r>
              <w:rPr>
                <w:spacing w:val="-3"/>
                <w:sz w:val="21"/>
              </w:rPr>
              <w:t>施</w:t>
            </w:r>
            <w:r>
              <w:rPr>
                <w:sz w:val="21"/>
              </w:rPr>
              <w:t>。</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rPr>
                <w:b/>
                <w:sz w:val="20"/>
              </w:rPr>
            </w:pPr>
          </w:p>
          <w:p>
            <w:pPr>
              <w:pStyle w:val="12"/>
              <w:spacing w:before="4"/>
              <w:rPr>
                <w:b/>
                <w:sz w:val="29"/>
              </w:rPr>
            </w:pPr>
          </w:p>
          <w:p>
            <w:pPr>
              <w:pStyle w:val="12"/>
              <w:spacing w:line="266" w:lineRule="auto"/>
              <w:ind w:left="102" w:right="209"/>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32" w:line="266" w:lineRule="auto"/>
              <w:ind w:left="105" w:right="97"/>
              <w:rPr>
                <w:sz w:val="21"/>
              </w:rPr>
            </w:pPr>
            <w:r>
              <w:rPr>
                <w:b/>
                <w:sz w:val="21"/>
              </w:rPr>
              <w:t>第十九条</w:t>
            </w:r>
            <w:r>
              <w:rPr>
                <w:spacing w:val="-8"/>
                <w:sz w:val="21"/>
              </w:rPr>
              <w:t>森林公园的各项建设应当符合森林公园总体规划。需要征、占用土地的，应当依法办理建设用地等相关审批手续。建设单位在施工中应当采取措施，保护施工现场周</w:t>
            </w:r>
            <w:r>
              <w:rPr>
                <w:spacing w:val="-5"/>
                <w:sz w:val="21"/>
              </w:rPr>
              <w:t>围环境和森林资源。需经有关部门验收的项目竣工后，经验收合格方可投入使用。</w:t>
            </w:r>
          </w:p>
          <w:p>
            <w:pPr>
              <w:pStyle w:val="12"/>
              <w:spacing w:before="3"/>
              <w:ind w:left="105"/>
              <w:rPr>
                <w:sz w:val="21"/>
              </w:rPr>
            </w:pPr>
            <w:r>
              <w:rPr>
                <w:b/>
                <w:sz w:val="21"/>
              </w:rPr>
              <w:t>第二十条</w:t>
            </w:r>
            <w:r>
              <w:rPr>
                <w:sz w:val="21"/>
              </w:rPr>
              <w:t>森林公园内的居民新建、改建住宅应当依法办理审批手续；新建住宅应当在统一规划的居民点内建设。</w:t>
            </w:r>
          </w:p>
          <w:p>
            <w:pPr>
              <w:pStyle w:val="12"/>
              <w:spacing w:before="31"/>
              <w:ind w:left="105"/>
              <w:rPr>
                <w:sz w:val="21"/>
              </w:rPr>
            </w:pPr>
            <w:r>
              <w:rPr>
                <w:b/>
                <w:sz w:val="21"/>
              </w:rPr>
              <w:t>第二十七条</w:t>
            </w:r>
            <w:r>
              <w:rPr>
                <w:sz w:val="21"/>
              </w:rPr>
              <w:t>在森林公园内进行科学研究需要采集动植物标本的，应当征求森林公园管理组织的意见，经县级以上人民政府林业行政主管部门依法批准。</w:t>
            </w:r>
          </w:p>
          <w:p>
            <w:pPr>
              <w:pStyle w:val="12"/>
              <w:spacing w:before="30"/>
              <w:ind w:left="105"/>
              <w:rPr>
                <w:sz w:val="21"/>
              </w:rPr>
            </w:pPr>
            <w:r>
              <w:rPr>
                <w:b/>
                <w:sz w:val="21"/>
              </w:rPr>
              <w:t>第二十八条</w:t>
            </w:r>
            <w:r>
              <w:rPr>
                <w:sz w:val="21"/>
              </w:rPr>
              <w:t>在森林公园内开展影视拍摄、大型文艺演出等活动，应当向森林公园管理组织提出申请和活动方案，经森林公园管理组织同意，并报有关行政主管部门批准。</w:t>
            </w:r>
          </w:p>
          <w:p>
            <w:pPr>
              <w:pStyle w:val="12"/>
              <w:spacing w:line="300" w:lineRule="atLeast"/>
              <w:ind w:left="105" w:right="-15"/>
              <w:rPr>
                <w:sz w:val="21"/>
              </w:rPr>
            </w:pPr>
            <w:r>
              <w:rPr>
                <w:spacing w:val="-10"/>
                <w:sz w:val="21"/>
              </w:rPr>
              <w:t xml:space="preserve">在森林公园内开展影视拍摄、大型文艺演出等活动搭建的场景设施，应当在活动结束后及时拆除，恢复场地原貌；场景设施需长期保留的，其建设应当符合森林公园总体规划， </w:t>
            </w:r>
            <w:r>
              <w:rPr>
                <w:spacing w:val="-5"/>
                <w:sz w:val="21"/>
              </w:rPr>
              <w:t>并履行相应的审批手续。</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spacing w:line="300" w:lineRule="exact"/>
              <w:ind w:left="102" w:right="209"/>
              <w:rPr>
                <w:sz w:val="21"/>
              </w:rPr>
            </w:pPr>
            <w:r>
              <w:rPr>
                <w:sz w:val="21"/>
              </w:rPr>
              <w:t>资源开发效率</w:t>
            </w:r>
          </w:p>
        </w:tc>
        <w:tc>
          <w:tcPr>
            <w:tcW w:w="16110" w:type="dxa"/>
            <w:tcBorders>
              <w:top w:val="single" w:color="000000" w:sz="4" w:space="0"/>
              <w:bottom w:val="single" w:color="000000" w:sz="4" w:space="0"/>
            </w:tcBorders>
          </w:tcPr>
          <w:p>
            <w:pPr>
              <w:pStyle w:val="12"/>
              <w:spacing w:before="179"/>
              <w:ind w:left="105"/>
              <w:rPr>
                <w:sz w:val="21"/>
              </w:rPr>
            </w:pPr>
            <w:r>
              <w:rPr>
                <w:b/>
                <w:sz w:val="21"/>
              </w:rPr>
              <w:t>第三十五条</w:t>
            </w:r>
            <w:r>
              <w:rPr>
                <w:sz w:val="21"/>
              </w:rPr>
              <w:t>森林公园管理组织应当根据生态承载力、安全等因素确定游客接待容量。</w:t>
            </w:r>
          </w:p>
        </w:tc>
        <w:tc>
          <w:tcPr>
            <w:tcW w:w="2693" w:type="dxa"/>
            <w:vMerge w:val="continue"/>
            <w:tcBorders>
              <w:top w:val="nil"/>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670"/>
        <w:gridCol w:w="718"/>
        <w:gridCol w:w="1164"/>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14" w:type="dxa"/>
            <w:gridSpan w:val="2"/>
            <w:tcBorders>
              <w:bottom w:val="single" w:color="000000" w:sz="4" w:space="0"/>
            </w:tcBorders>
          </w:tcPr>
          <w:p>
            <w:pPr>
              <w:pStyle w:val="12"/>
              <w:spacing w:before="152"/>
              <w:ind w:left="345"/>
              <w:rPr>
                <w:b/>
                <w:sz w:val="21"/>
              </w:rPr>
            </w:pPr>
            <w:r>
              <w:rPr>
                <w:b/>
                <w:sz w:val="21"/>
              </w:rPr>
              <w:t>属性</w:t>
            </w:r>
          </w:p>
        </w:tc>
        <w:tc>
          <w:tcPr>
            <w:tcW w:w="1882" w:type="dxa"/>
            <w:gridSpan w:val="2"/>
            <w:tcBorders>
              <w:bottom w:val="single" w:color="000000" w:sz="4" w:space="0"/>
            </w:tcBorders>
          </w:tcPr>
          <w:p>
            <w:pPr>
              <w:pStyle w:val="12"/>
              <w:spacing w:before="164"/>
              <w:ind w:left="707" w:right="707"/>
              <w:jc w:val="center"/>
              <w:rPr>
                <w:b/>
                <w:sz w:val="21"/>
              </w:rPr>
            </w:pPr>
            <w:r>
              <w:rPr>
                <w:b/>
                <w:sz w:val="21"/>
              </w:rPr>
              <w:t>管控</w:t>
            </w:r>
          </w:p>
        </w:tc>
        <w:tc>
          <w:tcPr>
            <w:tcW w:w="16110" w:type="dxa"/>
            <w:tcBorders>
              <w:top w:val="single" w:color="000000" w:sz="4" w:space="0"/>
              <w:bottom w:val="single" w:color="000000" w:sz="4" w:space="0"/>
            </w:tcBorders>
          </w:tcPr>
          <w:p>
            <w:pPr>
              <w:pStyle w:val="12"/>
              <w:spacing w:before="164"/>
              <w:ind w:left="7400" w:right="7400"/>
              <w:jc w:val="center"/>
              <w:rPr>
                <w:b/>
                <w:sz w:val="21"/>
              </w:rPr>
            </w:pPr>
            <w:r>
              <w:rPr>
                <w:b/>
                <w:sz w:val="21"/>
              </w:rPr>
              <w:t>管控要求</w:t>
            </w:r>
          </w:p>
        </w:tc>
        <w:tc>
          <w:tcPr>
            <w:tcW w:w="2693" w:type="dxa"/>
          </w:tcPr>
          <w:p>
            <w:pPr>
              <w:pStyle w:val="12"/>
              <w:spacing w:before="164"/>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444"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21"/>
              </w:rPr>
            </w:pPr>
          </w:p>
          <w:p>
            <w:pPr>
              <w:pStyle w:val="12"/>
              <w:spacing w:before="1" w:line="268" w:lineRule="auto"/>
              <w:ind w:left="107" w:right="117"/>
              <w:jc w:val="both"/>
              <w:rPr>
                <w:sz w:val="21"/>
              </w:rPr>
            </w:pPr>
            <w:r>
              <w:rPr>
                <w:sz w:val="21"/>
              </w:rPr>
              <w:t>自然保护地</w:t>
            </w:r>
          </w:p>
        </w:tc>
        <w:tc>
          <w:tcPr>
            <w:tcW w:w="67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5"/>
              <w:rPr>
                <w:b/>
                <w:sz w:val="19"/>
              </w:rPr>
            </w:pPr>
          </w:p>
          <w:p>
            <w:pPr>
              <w:pStyle w:val="12"/>
              <w:spacing w:line="230" w:lineRule="auto"/>
              <w:ind w:left="107" w:right="132"/>
              <w:jc w:val="both"/>
              <w:rPr>
                <w:sz w:val="21"/>
              </w:rPr>
            </w:pPr>
            <w:r>
              <w:rPr>
                <w:sz w:val="21"/>
              </w:rPr>
              <w:t>风景名胜区</w:t>
            </w:r>
          </w:p>
        </w:tc>
        <w:tc>
          <w:tcPr>
            <w:tcW w:w="718" w:type="dxa"/>
            <w:vMerge w:val="restart"/>
            <w:tcBorders>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31" w:line="232" w:lineRule="auto"/>
              <w:ind w:left="107" w:right="178"/>
              <w:jc w:val="both"/>
              <w:rPr>
                <w:sz w:val="21"/>
              </w:rPr>
            </w:pPr>
            <w:r>
              <w:rPr>
                <w:sz w:val="21"/>
              </w:rPr>
              <w:t>国家级管控要求</w:t>
            </w: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spacing w:before="7"/>
              <w:rPr>
                <w:b/>
                <w:sz w:val="24"/>
              </w:rPr>
            </w:pPr>
          </w:p>
          <w:p>
            <w:pPr>
              <w:pStyle w:val="12"/>
              <w:spacing w:line="232"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1" w:line="264" w:lineRule="exact"/>
              <w:ind w:left="105"/>
              <w:rPr>
                <w:sz w:val="21"/>
              </w:rPr>
            </w:pPr>
            <w:r>
              <w:rPr>
                <w:b/>
                <w:sz w:val="21"/>
              </w:rPr>
              <w:t>第二十六条</w:t>
            </w:r>
            <w:r>
              <w:rPr>
                <w:sz w:val="21"/>
              </w:rPr>
              <w:t>在风景名胜区内禁止进行下列活动：</w:t>
            </w:r>
          </w:p>
          <w:p>
            <w:pPr>
              <w:pStyle w:val="12"/>
              <w:spacing w:line="259" w:lineRule="exact"/>
              <w:ind w:left="105"/>
              <w:rPr>
                <w:sz w:val="21"/>
              </w:rPr>
            </w:pPr>
            <w:r>
              <w:rPr>
                <w:sz w:val="21"/>
              </w:rPr>
              <w:t>（一）开山、采石、开矿、开荒、修坟立碑等破坏景观、植被和地形地貌的活动；</w:t>
            </w:r>
          </w:p>
          <w:p>
            <w:pPr>
              <w:pStyle w:val="12"/>
              <w:spacing w:line="260" w:lineRule="exact"/>
              <w:ind w:left="105"/>
              <w:rPr>
                <w:sz w:val="21"/>
              </w:rPr>
            </w:pPr>
            <w:r>
              <w:rPr>
                <w:sz w:val="21"/>
              </w:rPr>
              <w:t>（二）修建储存爆炸性、易燃性、放射性、毒害性、腐蚀性物品的设施；</w:t>
            </w:r>
          </w:p>
          <w:p>
            <w:pPr>
              <w:pStyle w:val="12"/>
              <w:spacing w:line="260" w:lineRule="exact"/>
              <w:ind w:left="105"/>
              <w:rPr>
                <w:sz w:val="21"/>
              </w:rPr>
            </w:pPr>
            <w:r>
              <w:rPr>
                <w:sz w:val="21"/>
              </w:rPr>
              <w:t>（三）在景物或者设施上刻划、涂污；</w:t>
            </w:r>
          </w:p>
          <w:p>
            <w:pPr>
              <w:pStyle w:val="12"/>
              <w:spacing w:line="235" w:lineRule="exact"/>
              <w:ind w:left="105"/>
              <w:rPr>
                <w:sz w:val="21"/>
              </w:rPr>
            </w:pPr>
            <w:r>
              <w:rPr>
                <w:sz w:val="21"/>
              </w:rPr>
              <w:t>（四）乱扔垃圾。</w:t>
            </w:r>
          </w:p>
        </w:tc>
        <w:tc>
          <w:tcPr>
            <w:tcW w:w="2693" w:type="dxa"/>
            <w:tcBorders>
              <w:bottom w:val="single" w:color="000000" w:sz="4" w:space="0"/>
            </w:tcBorders>
          </w:tcPr>
          <w:p>
            <w:pPr>
              <w:pStyle w:val="12"/>
              <w:rPr>
                <w:b/>
                <w:sz w:val="20"/>
              </w:rPr>
            </w:pPr>
          </w:p>
          <w:p>
            <w:pPr>
              <w:pStyle w:val="12"/>
              <w:spacing w:before="6"/>
              <w:rPr>
                <w:b/>
                <w:sz w:val="21"/>
              </w:rPr>
            </w:pPr>
          </w:p>
          <w:p>
            <w:pPr>
              <w:pStyle w:val="12"/>
              <w:ind w:left="105"/>
              <w:rPr>
                <w:sz w:val="21"/>
              </w:rPr>
            </w:pPr>
            <w:r>
              <w:rPr>
                <w:sz w:val="21"/>
              </w:rPr>
              <w:t>《风景名胜区条例》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30" w:line="242" w:lineRule="auto"/>
              <w:ind w:left="105" w:right="102"/>
              <w:rPr>
                <w:sz w:val="21"/>
              </w:rPr>
            </w:pPr>
            <w:r>
              <w:rPr>
                <w:b/>
                <w:sz w:val="21"/>
              </w:rPr>
              <w:t xml:space="preserve">第二十二条 </w:t>
            </w:r>
            <w:r>
              <w:rPr>
                <w:sz w:val="21"/>
              </w:rPr>
              <w:t>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tc>
        <w:tc>
          <w:tcPr>
            <w:tcW w:w="2693" w:type="dxa"/>
            <w:tcBorders>
              <w:top w:val="single" w:color="000000" w:sz="4" w:space="0"/>
            </w:tcBorders>
          </w:tcPr>
          <w:p>
            <w:pPr>
              <w:pStyle w:val="12"/>
              <w:spacing w:line="300" w:lineRule="exact"/>
              <w:ind w:left="105" w:right="266"/>
              <w:rPr>
                <w:sz w:val="21"/>
              </w:rPr>
            </w:pPr>
            <w:r>
              <w:rPr>
                <w:sz w:val="21"/>
              </w:rPr>
              <w:t>《中华人民共和国固体废物污染环境防治法》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rPr>
                <w:b/>
                <w:sz w:val="20"/>
              </w:rPr>
            </w:pPr>
          </w:p>
          <w:p>
            <w:pPr>
              <w:pStyle w:val="12"/>
              <w:spacing w:before="4"/>
              <w:rPr>
                <w:b/>
                <w:sz w:val="24"/>
              </w:rPr>
            </w:pPr>
          </w:p>
          <w:p>
            <w:pPr>
              <w:pStyle w:val="12"/>
              <w:spacing w:line="232" w:lineRule="auto"/>
              <w:ind w:left="102" w:right="209"/>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3"/>
              <w:ind w:left="105"/>
              <w:rPr>
                <w:sz w:val="21"/>
              </w:rPr>
            </w:pPr>
            <w:r>
              <w:rPr>
                <w:b/>
                <w:sz w:val="21"/>
              </w:rPr>
              <w:t>第二十八条</w:t>
            </w:r>
            <w:r>
              <w:rPr>
                <w:sz w:val="21"/>
              </w:rPr>
              <w:t>在国家级风景名胜区内修建缆车、索道等重大建设工程，项目的选址方案应当报国务院建设主管部门核准。</w:t>
            </w:r>
          </w:p>
          <w:p>
            <w:pPr>
              <w:pStyle w:val="12"/>
              <w:spacing w:before="2"/>
              <w:ind w:left="105"/>
              <w:rPr>
                <w:sz w:val="21"/>
              </w:rPr>
            </w:pPr>
            <w:r>
              <w:rPr>
                <w:b/>
                <w:sz w:val="21"/>
              </w:rPr>
              <w:t>第二十九条</w:t>
            </w:r>
            <w:r>
              <w:rPr>
                <w:sz w:val="21"/>
              </w:rPr>
              <w:t>在风景名胜区内进行下列活动，应当经风景名胜区管理机构审核后，依照有关法律、法规的规定报有关主管部门批准：</w:t>
            </w:r>
          </w:p>
          <w:p>
            <w:pPr>
              <w:pStyle w:val="12"/>
              <w:spacing w:before="4"/>
              <w:ind w:left="105"/>
              <w:rPr>
                <w:sz w:val="21"/>
              </w:rPr>
            </w:pPr>
            <w:r>
              <w:rPr>
                <w:sz w:val="21"/>
              </w:rPr>
              <w:t>（一</w:t>
            </w:r>
            <w:r>
              <w:rPr>
                <w:spacing w:val="-3"/>
                <w:sz w:val="21"/>
              </w:rPr>
              <w:t>）设置、张贴商业广告；</w:t>
            </w:r>
          </w:p>
          <w:p>
            <w:pPr>
              <w:pStyle w:val="12"/>
              <w:spacing w:before="3"/>
              <w:ind w:left="105"/>
              <w:rPr>
                <w:sz w:val="21"/>
              </w:rPr>
            </w:pPr>
            <w:r>
              <w:rPr>
                <w:sz w:val="21"/>
              </w:rPr>
              <w:t>（二</w:t>
            </w:r>
            <w:r>
              <w:rPr>
                <w:spacing w:val="-3"/>
                <w:sz w:val="21"/>
              </w:rPr>
              <w:t>）举办大型游乐等活动；</w:t>
            </w:r>
          </w:p>
          <w:p>
            <w:pPr>
              <w:pStyle w:val="12"/>
              <w:spacing w:before="5"/>
              <w:ind w:left="105"/>
              <w:rPr>
                <w:sz w:val="21"/>
              </w:rPr>
            </w:pPr>
            <w:r>
              <w:rPr>
                <w:sz w:val="21"/>
              </w:rPr>
              <w:t>（三）改变水资源、水环境自然状态的活动；</w:t>
            </w:r>
          </w:p>
          <w:p>
            <w:pPr>
              <w:pStyle w:val="12"/>
              <w:spacing w:before="2"/>
              <w:ind w:left="105"/>
              <w:rPr>
                <w:sz w:val="21"/>
              </w:rPr>
            </w:pPr>
            <w:r>
              <w:rPr>
                <w:sz w:val="21"/>
              </w:rPr>
              <w:t>（四）其他影响生态和景观的活动。</w:t>
            </w:r>
          </w:p>
          <w:p>
            <w:pPr>
              <w:pStyle w:val="12"/>
              <w:spacing w:before="2" w:line="252" w:lineRule="exact"/>
              <w:ind w:left="105"/>
              <w:rPr>
                <w:sz w:val="21"/>
              </w:rPr>
            </w:pPr>
            <w:r>
              <w:rPr>
                <w:b/>
                <w:sz w:val="21"/>
              </w:rPr>
              <w:t>第三十条</w:t>
            </w:r>
            <w:r>
              <w:rPr>
                <w:sz w:val="21"/>
              </w:rPr>
              <w:t>风景名胜区内的建设项目应当符合风景名胜区规划，并与景观相协调，不得破坏景观、污染环境、妨碍游览。</w:t>
            </w:r>
          </w:p>
        </w:tc>
        <w:tc>
          <w:tcPr>
            <w:tcW w:w="2693"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1"/>
              <w:rPr>
                <w:b/>
                <w:sz w:val="26"/>
              </w:rPr>
            </w:pPr>
          </w:p>
          <w:p>
            <w:pPr>
              <w:pStyle w:val="12"/>
              <w:ind w:left="398"/>
              <w:rPr>
                <w:sz w:val="21"/>
              </w:rPr>
            </w:pPr>
            <w:r>
              <w:rPr>
                <w:sz w:val="21"/>
              </w:rPr>
              <w:t>《风景名胜区条例》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spacing w:before="5" w:line="232" w:lineRule="auto"/>
              <w:ind w:left="102" w:right="209"/>
              <w:jc w:val="both"/>
              <w:rPr>
                <w:sz w:val="21"/>
              </w:rPr>
            </w:pPr>
            <w:r>
              <w:rPr>
                <w:spacing w:val="-5"/>
                <w:sz w:val="21"/>
              </w:rPr>
              <w:t>不符合空间布局要求活动的</w:t>
            </w:r>
          </w:p>
          <w:p>
            <w:pPr>
              <w:pStyle w:val="12"/>
              <w:spacing w:line="231" w:lineRule="exact"/>
              <w:ind w:left="102"/>
              <w:rPr>
                <w:sz w:val="21"/>
              </w:rPr>
            </w:pPr>
            <w:r>
              <w:rPr>
                <w:spacing w:val="-1"/>
                <w:sz w:val="21"/>
              </w:rPr>
              <w:t>退出要求</w:t>
            </w:r>
          </w:p>
        </w:tc>
        <w:tc>
          <w:tcPr>
            <w:tcW w:w="16110" w:type="dxa"/>
            <w:tcBorders>
              <w:top w:val="single" w:color="000000" w:sz="4" w:space="0"/>
              <w:bottom w:val="single" w:color="000000" w:sz="4" w:space="0"/>
            </w:tcBorders>
          </w:tcPr>
          <w:p>
            <w:pPr>
              <w:pStyle w:val="12"/>
              <w:spacing w:before="7"/>
              <w:rPr>
                <w:b/>
                <w:sz w:val="20"/>
              </w:rPr>
            </w:pPr>
          </w:p>
          <w:p>
            <w:pPr>
              <w:pStyle w:val="12"/>
              <w:spacing w:before="1" w:line="232" w:lineRule="auto"/>
              <w:ind w:left="105" w:right="97"/>
              <w:rPr>
                <w:sz w:val="21"/>
              </w:rPr>
            </w:pPr>
            <w:r>
              <w:rPr>
                <w:b/>
                <w:sz w:val="21"/>
              </w:rPr>
              <w:t>第二十七条</w:t>
            </w:r>
            <w:r>
              <w:rPr>
                <w:spacing w:val="-8"/>
                <w:sz w:val="21"/>
              </w:rPr>
              <w:t>禁止违反风景名胜区规划，在风景名胜区内设立各类开发区和在核心景区内建设宾馆、招待所、培训中心、疗养院以及与风景名胜资源保护无关的其他建筑物；已</w:t>
            </w:r>
            <w:r>
              <w:rPr>
                <w:spacing w:val="-5"/>
                <w:sz w:val="21"/>
              </w:rPr>
              <w:t>经建设的，应当按照风景名胜区规划，逐步迁出。</w:t>
            </w:r>
          </w:p>
        </w:tc>
        <w:tc>
          <w:tcPr>
            <w:tcW w:w="2693"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1"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restart"/>
            <w:tcBorders>
              <w:top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9"/>
              <w:rPr>
                <w:b/>
                <w:sz w:val="28"/>
              </w:rPr>
            </w:pPr>
          </w:p>
          <w:p>
            <w:pPr>
              <w:pStyle w:val="12"/>
              <w:spacing w:line="230" w:lineRule="auto"/>
              <w:ind w:left="107" w:right="178"/>
              <w:jc w:val="both"/>
              <w:rPr>
                <w:sz w:val="21"/>
              </w:rPr>
            </w:pPr>
            <w:r>
              <w:rPr>
                <w:sz w:val="21"/>
              </w:rPr>
              <w:t>省级管控要求</w:t>
            </w: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27"/>
              </w:rPr>
            </w:pPr>
          </w:p>
          <w:p>
            <w:pPr>
              <w:pStyle w:val="12"/>
              <w:spacing w:line="232"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9" w:line="230" w:lineRule="auto"/>
              <w:ind w:left="105" w:right="127"/>
              <w:rPr>
                <w:sz w:val="21"/>
              </w:rPr>
            </w:pPr>
            <w:r>
              <w:rPr>
                <w:b/>
                <w:spacing w:val="13"/>
                <w:sz w:val="21"/>
              </w:rPr>
              <w:t xml:space="preserve">第十七条 </w:t>
            </w:r>
            <w:r>
              <w:rPr>
                <w:spacing w:val="-4"/>
                <w:sz w:val="21"/>
              </w:rPr>
              <w:t>禁止违反风景名胜区规划，在风景名胜区内设立各类开发区和在核心景区内建设宾馆、招待所、培训中心、疗养院以及与风景名胜资源保护无关的其他建筑物；已</w:t>
            </w:r>
            <w:r>
              <w:rPr>
                <w:spacing w:val="-3"/>
                <w:sz w:val="21"/>
              </w:rPr>
              <w:t>经建设的，应当按照风景名胜区规划，逐步迁出。</w:t>
            </w:r>
          </w:p>
          <w:p>
            <w:pPr>
              <w:pStyle w:val="12"/>
              <w:spacing w:line="232" w:lineRule="auto"/>
              <w:ind w:left="105" w:right="10952"/>
              <w:rPr>
                <w:sz w:val="21"/>
              </w:rPr>
            </w:pPr>
            <w:r>
              <w:rPr>
                <w:sz w:val="21"/>
              </w:rPr>
              <w:t>禁止出让或者变相出让风景名胜资源及核心景区土地。</w:t>
            </w:r>
            <w:r>
              <w:rPr>
                <w:b/>
                <w:sz w:val="21"/>
              </w:rPr>
              <w:t xml:space="preserve">第二十一条 </w:t>
            </w:r>
            <w:r>
              <w:rPr>
                <w:sz w:val="21"/>
              </w:rPr>
              <w:t>风景名胜区内禁止进行下列活动：</w:t>
            </w:r>
          </w:p>
          <w:p>
            <w:pPr>
              <w:pStyle w:val="12"/>
              <w:spacing w:before="1" w:line="230" w:lineRule="auto"/>
              <w:ind w:left="105" w:right="5965"/>
              <w:rPr>
                <w:sz w:val="21"/>
              </w:rPr>
            </w:pPr>
            <w:r>
              <w:rPr>
                <w:spacing w:val="-3"/>
                <w:sz w:val="21"/>
              </w:rPr>
              <w:t>(一)非法占用风景名胜资源或者风景名胜区土地，擅自改变风景名胜资源性质或者风景名胜区土地使用性质； (二)开山、采石、开矿、开荒、修坟立碑等破坏景观、植被和地形地貌的活动；</w:t>
            </w:r>
          </w:p>
          <w:p>
            <w:pPr>
              <w:pStyle w:val="12"/>
              <w:spacing w:line="260" w:lineRule="exact"/>
              <w:ind w:left="105"/>
              <w:rPr>
                <w:sz w:val="21"/>
              </w:rPr>
            </w:pPr>
            <w:r>
              <w:rPr>
                <w:sz w:val="21"/>
              </w:rPr>
              <w:t>(三)修建储存爆炸性、易燃性、放射性、毒害性、腐蚀性物品的设施；</w:t>
            </w:r>
          </w:p>
          <w:p>
            <w:pPr>
              <w:pStyle w:val="12"/>
              <w:spacing w:before="3" w:line="230" w:lineRule="auto"/>
              <w:ind w:left="105" w:right="7621"/>
              <w:rPr>
                <w:sz w:val="21"/>
              </w:rPr>
            </w:pPr>
            <w:r>
              <w:rPr>
                <w:spacing w:val="-3"/>
                <w:sz w:val="21"/>
              </w:rPr>
              <w:t>(四)修建破坏景观、污染环境、妨碍游览和危害风景名胜区安全的建筑物、构筑物、设施； (五)擅自建造、设立宗教活动场所或者塑造佛像、神像等；</w:t>
            </w:r>
          </w:p>
          <w:p>
            <w:pPr>
              <w:pStyle w:val="12"/>
              <w:spacing w:before="4" w:line="230" w:lineRule="auto"/>
              <w:ind w:left="105" w:right="8863"/>
              <w:rPr>
                <w:sz w:val="21"/>
              </w:rPr>
            </w:pPr>
            <w:r>
              <w:rPr>
                <w:spacing w:val="-3"/>
                <w:sz w:val="21"/>
              </w:rPr>
              <w:t>(六)砍伐、毁坏风景林木，采挖花草苗木，在游览区及保护区内砍柴、放牧； (七)损坏景物、公共设施，在景物或者设施上刻划、涂污；</w:t>
            </w:r>
          </w:p>
          <w:p>
            <w:pPr>
              <w:pStyle w:val="12"/>
              <w:spacing w:line="232" w:lineRule="auto"/>
              <w:ind w:left="105" w:right="11780"/>
              <w:rPr>
                <w:sz w:val="21"/>
              </w:rPr>
            </w:pPr>
            <w:r>
              <w:rPr>
                <w:sz w:val="21"/>
              </w:rPr>
              <w:t>(八)在禁火区内吸烟、燃放烟花爆竹、用火； (九)乱扔垃圾；</w:t>
            </w:r>
          </w:p>
          <w:p>
            <w:pPr>
              <w:pStyle w:val="12"/>
              <w:spacing w:line="257" w:lineRule="exact"/>
              <w:ind w:left="105"/>
              <w:rPr>
                <w:sz w:val="21"/>
              </w:rPr>
            </w:pPr>
            <w:r>
              <w:rPr>
                <w:sz w:val="21"/>
              </w:rPr>
              <w:t>(十)其他破坏风景名胜资源、景观的行为。</w:t>
            </w:r>
          </w:p>
          <w:p>
            <w:pPr>
              <w:pStyle w:val="12"/>
              <w:spacing w:before="1" w:line="232" w:lineRule="auto"/>
              <w:ind w:left="105" w:right="126"/>
              <w:rPr>
                <w:sz w:val="21"/>
              </w:rPr>
            </w:pPr>
            <w:r>
              <w:rPr>
                <w:b/>
                <w:sz w:val="21"/>
              </w:rPr>
              <w:t xml:space="preserve">第十八条 </w:t>
            </w:r>
            <w:r>
              <w:rPr>
                <w:sz w:val="21"/>
              </w:rPr>
              <w:t>任何单位和个人不得围填堵塞水面，不得超过水环境容量使用水体。不得擅自改变水资源、水环境自然状态，不得擅自改变现状或者向水体排放废水、倾倒垃圾和其他污染物。</w:t>
            </w:r>
          </w:p>
          <w:p>
            <w:pPr>
              <w:pStyle w:val="12"/>
              <w:spacing w:line="257" w:lineRule="exact"/>
              <w:ind w:left="105"/>
              <w:rPr>
                <w:sz w:val="21"/>
              </w:rPr>
            </w:pPr>
            <w:r>
              <w:rPr>
                <w:b/>
                <w:sz w:val="21"/>
              </w:rPr>
              <w:t xml:space="preserve">第二十三条 </w:t>
            </w:r>
            <w:r>
              <w:rPr>
                <w:sz w:val="21"/>
              </w:rPr>
              <w:t>未经检疫部门依法检验的动植物，不得引入风景名胜区。</w:t>
            </w:r>
          </w:p>
          <w:p>
            <w:pPr>
              <w:pStyle w:val="12"/>
              <w:spacing w:before="2" w:line="232" w:lineRule="auto"/>
              <w:ind w:left="105" w:right="126"/>
              <w:rPr>
                <w:sz w:val="21"/>
              </w:rPr>
            </w:pPr>
            <w:r>
              <w:rPr>
                <w:b/>
                <w:sz w:val="21"/>
              </w:rPr>
              <w:t xml:space="preserve">第二十七条 </w:t>
            </w:r>
            <w:r>
              <w:rPr>
                <w:sz w:val="21"/>
              </w:rPr>
              <w:t>修建索道、缆车等涉及公共安全和资源保护与利用的重大建设工程，其项目选址，在国家级风景名胜区的，应当经风景名胜区管理机构审核后，由省人民政府建设行政主管部门审查，按照国家有关规定核发选址意见书；在省级风景名胜区的，应当经风景名胜区管理机构审核后，报省人民政府建设行政主管部门核发选址意见书。</w:t>
            </w:r>
          </w:p>
          <w:p>
            <w:pPr>
              <w:pStyle w:val="12"/>
              <w:spacing w:before="1" w:line="230" w:lineRule="auto"/>
              <w:ind w:left="105" w:right="7901"/>
              <w:rPr>
                <w:sz w:val="21"/>
              </w:rPr>
            </w:pPr>
            <w:r>
              <w:rPr>
                <w:b/>
                <w:sz w:val="21"/>
              </w:rPr>
              <w:t xml:space="preserve">第三十条 </w:t>
            </w:r>
            <w:r>
              <w:rPr>
                <w:sz w:val="21"/>
              </w:rPr>
              <w:t>风景名胜区内的临时建设活动，应当严格控制，未经批准不得进行临时建设。确需进行临时建设的，应当经风景名胜区管理机构审核后，依法办理审批手续。</w:t>
            </w:r>
          </w:p>
          <w:p>
            <w:pPr>
              <w:pStyle w:val="12"/>
              <w:spacing w:line="260" w:lineRule="exact"/>
              <w:ind w:left="105"/>
              <w:rPr>
                <w:sz w:val="21"/>
              </w:rPr>
            </w:pPr>
            <w:r>
              <w:rPr>
                <w:sz w:val="21"/>
              </w:rPr>
              <w:t xml:space="preserve">风景名胜区内的临时性建筑物使用期限届满，该建筑物所有权人应当自届满之日起 </w:t>
            </w:r>
            <w:r>
              <w:rPr>
                <w:rFonts w:ascii="Calibri" w:eastAsia="Calibri"/>
                <w:sz w:val="21"/>
              </w:rPr>
              <w:t xml:space="preserve">30 </w:t>
            </w:r>
            <w:r>
              <w:rPr>
                <w:sz w:val="21"/>
              </w:rPr>
              <w:t>日内拆除。</w:t>
            </w:r>
          </w:p>
          <w:p>
            <w:pPr>
              <w:pStyle w:val="12"/>
              <w:spacing w:line="235" w:lineRule="exact"/>
              <w:ind w:left="105"/>
              <w:rPr>
                <w:sz w:val="21"/>
              </w:rPr>
            </w:pPr>
            <w:r>
              <w:rPr>
                <w:sz w:val="21"/>
              </w:rPr>
              <w:t>禁止在批准的临时用地上建设永久性建筑物、构筑物和其他设施。</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4"/>
              </w:rPr>
            </w:pPr>
          </w:p>
          <w:p>
            <w:pPr>
              <w:pStyle w:val="12"/>
              <w:ind w:left="105"/>
              <w:rPr>
                <w:sz w:val="21"/>
              </w:rPr>
            </w:pPr>
            <w:r>
              <w:rPr>
                <w:sz w:val="21"/>
              </w:rPr>
              <w:t>《贵州省风景名胜区条例》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169"/>
              <w:ind w:left="105"/>
              <w:rPr>
                <w:sz w:val="21"/>
              </w:rPr>
            </w:pPr>
            <w:r>
              <w:rPr>
                <w:b/>
                <w:sz w:val="21"/>
              </w:rPr>
              <w:t xml:space="preserve">第十五条 </w:t>
            </w:r>
            <w:r>
              <w:rPr>
                <w:sz w:val="21"/>
              </w:rPr>
              <w:t>旅游区内禁止建设破坏景观、污染环境、妨碍游览等项目。</w:t>
            </w:r>
          </w:p>
        </w:tc>
        <w:tc>
          <w:tcPr>
            <w:tcW w:w="2693" w:type="dxa"/>
            <w:tcBorders>
              <w:top w:val="single" w:color="000000" w:sz="4" w:space="0"/>
            </w:tcBorders>
          </w:tcPr>
          <w:p>
            <w:pPr>
              <w:pStyle w:val="12"/>
              <w:spacing w:before="29"/>
              <w:ind w:left="105"/>
              <w:rPr>
                <w:sz w:val="21"/>
              </w:rPr>
            </w:pPr>
            <w:r>
              <w:rPr>
                <w:sz w:val="21"/>
              </w:rPr>
              <w:t>《贵州省旅游资源管理办</w:t>
            </w:r>
          </w:p>
          <w:p>
            <w:pPr>
              <w:pStyle w:val="12"/>
              <w:spacing w:before="31" w:line="250" w:lineRule="exact"/>
              <w:ind w:left="105"/>
              <w:rPr>
                <w:sz w:val="21"/>
              </w:rPr>
            </w:pPr>
            <w:r>
              <w:rPr>
                <w:sz w:val="21"/>
              </w:rPr>
              <w:t>法</w:t>
            </w:r>
            <w:r>
              <w:rPr>
                <w:rFonts w:ascii="Calibri" w:eastAsia="Calibri"/>
                <w:sz w:val="21"/>
              </w:rPr>
              <w:t>(</w:t>
            </w:r>
            <w:r>
              <w:rPr>
                <w:sz w:val="21"/>
              </w:rPr>
              <w:t>试行</w:t>
            </w:r>
            <w:r>
              <w:rPr>
                <w:rFonts w:ascii="Calibri" w:eastAsia="Calibri"/>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restart"/>
            <w:tcBorders>
              <w:top w:val="single" w:color="000000" w:sz="4" w:space="0"/>
              <w:left w:val="single" w:color="000000" w:sz="4" w:space="0"/>
              <w:bottom w:val="single" w:color="000000" w:sz="4" w:space="0"/>
            </w:tcBorders>
          </w:tcPr>
          <w:p>
            <w:pPr>
              <w:pStyle w:val="12"/>
              <w:spacing w:before="26" w:line="230" w:lineRule="auto"/>
              <w:ind w:left="102" w:right="209"/>
              <w:jc w:val="both"/>
              <w:rPr>
                <w:sz w:val="21"/>
              </w:rPr>
            </w:pPr>
            <w:r>
              <w:rPr>
                <w:spacing w:val="-5"/>
                <w:sz w:val="21"/>
              </w:rPr>
              <w:t>不符合空间布局要求活动的</w:t>
            </w:r>
          </w:p>
          <w:p>
            <w:pPr>
              <w:pStyle w:val="12"/>
              <w:spacing w:line="254" w:lineRule="exact"/>
              <w:ind w:left="102"/>
              <w:rPr>
                <w:sz w:val="21"/>
              </w:rPr>
            </w:pPr>
            <w:r>
              <w:rPr>
                <w:spacing w:val="-1"/>
                <w:sz w:val="21"/>
              </w:rPr>
              <w:t>退出要求</w:t>
            </w:r>
          </w:p>
        </w:tc>
        <w:tc>
          <w:tcPr>
            <w:tcW w:w="16110" w:type="dxa"/>
            <w:tcBorders>
              <w:top w:val="single" w:color="000000" w:sz="4" w:space="0"/>
              <w:bottom w:val="single" w:color="000000" w:sz="4" w:space="0"/>
            </w:tcBorders>
          </w:tcPr>
          <w:p>
            <w:pPr>
              <w:pStyle w:val="12"/>
              <w:spacing w:before="102"/>
              <w:ind w:left="105"/>
              <w:rPr>
                <w:sz w:val="21"/>
              </w:rPr>
            </w:pPr>
            <w:r>
              <w:rPr>
                <w:b/>
                <w:sz w:val="21"/>
              </w:rPr>
              <w:t xml:space="preserve">第二十二条 </w:t>
            </w:r>
            <w:r>
              <w:rPr>
                <w:sz w:val="21"/>
              </w:rPr>
              <w:t>风景名胜区已有的污染环境、破坏景物景观、影响风景名胜资源保护、妨碍游览活动的建筑物、构筑物、设施，应当按照风景名胜区规划逐步拆除或者迁出。</w:t>
            </w:r>
          </w:p>
        </w:tc>
        <w:tc>
          <w:tcPr>
            <w:tcW w:w="2693" w:type="dxa"/>
            <w:tcBorders>
              <w:bottom w:val="single" w:color="000000" w:sz="4" w:space="0"/>
            </w:tcBorders>
          </w:tcPr>
          <w:p>
            <w:pPr>
              <w:pStyle w:val="12"/>
              <w:spacing w:before="32"/>
              <w:ind w:left="105"/>
              <w:rPr>
                <w:sz w:val="21"/>
              </w:rPr>
            </w:pPr>
            <w:r>
              <w:rPr>
                <w:sz w:val="21"/>
              </w:rPr>
              <w:t>《贵州省风景名胜区条例》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169"/>
              <w:ind w:left="105"/>
              <w:rPr>
                <w:sz w:val="21"/>
              </w:rPr>
            </w:pPr>
            <w:r>
              <w:rPr>
                <w:b/>
                <w:sz w:val="21"/>
              </w:rPr>
              <w:t>第十五条</w:t>
            </w:r>
            <w:r>
              <w:rPr>
                <w:sz w:val="21"/>
              </w:rPr>
              <w:t>旅游区内破坏景观和环境的居民住房及其他建筑应依法依规改造或者逐步拆迁。</w:t>
            </w:r>
          </w:p>
        </w:tc>
        <w:tc>
          <w:tcPr>
            <w:tcW w:w="2693" w:type="dxa"/>
            <w:tcBorders>
              <w:top w:val="single" w:color="000000" w:sz="4" w:space="0"/>
            </w:tcBorders>
          </w:tcPr>
          <w:p>
            <w:pPr>
              <w:pStyle w:val="12"/>
              <w:spacing w:line="300" w:lineRule="exact"/>
              <w:ind w:left="105" w:right="266"/>
              <w:rPr>
                <w:sz w:val="21"/>
              </w:rPr>
            </w:pPr>
            <w:r>
              <w:rPr>
                <w:sz w:val="21"/>
              </w:rPr>
              <w:t>《贵州省旅游资源管理办法</w:t>
            </w:r>
            <w:r>
              <w:rPr>
                <w:rFonts w:ascii="Calibri" w:eastAsia="Calibri"/>
                <w:sz w:val="21"/>
              </w:rPr>
              <w:t>(</w:t>
            </w:r>
            <w:r>
              <w:rPr>
                <w:sz w:val="21"/>
              </w:rPr>
              <w:t>试行</w:t>
            </w:r>
            <w:r>
              <w:rPr>
                <w:rFonts w:ascii="Calibri" w:eastAsia="Calibri"/>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restart"/>
            <w:tcBorders>
              <w:top w:val="single" w:color="000000" w:sz="4" w:space="0"/>
              <w:left w:val="single" w:color="000000" w:sz="4" w:space="0"/>
              <w:bottom w:val="single" w:color="000000" w:sz="4" w:space="0"/>
            </w:tcBorders>
          </w:tcPr>
          <w:p>
            <w:pPr>
              <w:pStyle w:val="12"/>
              <w:spacing w:before="11"/>
              <w:rPr>
                <w:b/>
                <w:sz w:val="18"/>
              </w:rPr>
            </w:pPr>
          </w:p>
          <w:p>
            <w:pPr>
              <w:pStyle w:val="12"/>
              <w:spacing w:line="230" w:lineRule="auto"/>
              <w:ind w:left="102" w:right="209"/>
              <w:rPr>
                <w:sz w:val="21"/>
              </w:rPr>
            </w:pPr>
            <w:r>
              <w:rPr>
                <w:sz w:val="21"/>
              </w:rPr>
              <w:t>污染物排放管控</w:t>
            </w:r>
          </w:p>
        </w:tc>
        <w:tc>
          <w:tcPr>
            <w:tcW w:w="16110" w:type="dxa"/>
            <w:tcBorders>
              <w:top w:val="single" w:color="000000" w:sz="4" w:space="0"/>
              <w:bottom w:val="single" w:color="000000" w:sz="4" w:space="0"/>
            </w:tcBorders>
          </w:tcPr>
          <w:p>
            <w:pPr>
              <w:pStyle w:val="12"/>
              <w:spacing w:before="58"/>
              <w:ind w:left="105"/>
              <w:rPr>
                <w:sz w:val="21"/>
              </w:rPr>
            </w:pPr>
            <w:r>
              <w:rPr>
                <w:b/>
                <w:sz w:val="21"/>
              </w:rPr>
              <w:t>第十八条</w:t>
            </w:r>
            <w:r>
              <w:rPr>
                <w:sz w:val="21"/>
              </w:rPr>
              <w:t>风景名胜区内生产生活项目排放废物，应当达到国家规定的排放标准，并按照指定的地点排放。</w:t>
            </w:r>
          </w:p>
        </w:tc>
        <w:tc>
          <w:tcPr>
            <w:tcW w:w="2693" w:type="dxa"/>
            <w:tcBorders>
              <w:bottom w:val="single" w:color="000000" w:sz="4" w:space="0"/>
            </w:tcBorders>
          </w:tcPr>
          <w:p>
            <w:pPr>
              <w:pStyle w:val="12"/>
              <w:spacing w:before="29"/>
              <w:ind w:left="105"/>
              <w:rPr>
                <w:sz w:val="21"/>
              </w:rPr>
            </w:pPr>
            <w:r>
              <w:rPr>
                <w:sz w:val="21"/>
              </w:rPr>
              <w:t>《贵州省风景名胜区条例》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169"/>
              <w:ind w:left="105"/>
              <w:rPr>
                <w:sz w:val="21"/>
              </w:rPr>
            </w:pPr>
            <w:r>
              <w:rPr>
                <w:sz w:val="21"/>
              </w:rPr>
              <w:t>“十三五”期间，位于风景名胜区等敏感区域的城镇污水处理厂出水水质执行《城镇污水处理厂污染物排放标准》</w:t>
            </w:r>
            <w:r>
              <w:rPr>
                <w:rFonts w:ascii="Calibri" w:hAnsi="Calibri" w:eastAsia="Calibri"/>
                <w:sz w:val="21"/>
              </w:rPr>
              <w:t>(GB18918-2002)</w:t>
            </w:r>
            <w:r>
              <w:rPr>
                <w:sz w:val="21"/>
              </w:rPr>
              <w:t xml:space="preserve">一级 </w:t>
            </w:r>
            <w:r>
              <w:rPr>
                <w:rFonts w:ascii="Calibri" w:hAnsi="Calibri" w:eastAsia="Calibri"/>
                <w:sz w:val="21"/>
              </w:rPr>
              <w:t xml:space="preserve">A </w:t>
            </w:r>
            <w:r>
              <w:rPr>
                <w:sz w:val="21"/>
              </w:rPr>
              <w:t>类标准。</w:t>
            </w:r>
          </w:p>
        </w:tc>
        <w:tc>
          <w:tcPr>
            <w:tcW w:w="2693" w:type="dxa"/>
            <w:tcBorders>
              <w:top w:val="single" w:color="000000" w:sz="4" w:space="0"/>
            </w:tcBorders>
          </w:tcPr>
          <w:p>
            <w:pPr>
              <w:pStyle w:val="12"/>
              <w:spacing w:before="29"/>
              <w:ind w:left="105"/>
              <w:rPr>
                <w:sz w:val="21"/>
              </w:rPr>
            </w:pPr>
            <w:r>
              <w:rPr>
                <w:sz w:val="21"/>
              </w:rPr>
              <w:t>《贵州省“十三五”环境保</w:t>
            </w:r>
          </w:p>
          <w:p>
            <w:pPr>
              <w:pStyle w:val="12"/>
              <w:spacing w:before="31" w:line="250" w:lineRule="exact"/>
              <w:ind w:left="105"/>
              <w:rPr>
                <w:sz w:val="21"/>
              </w:rPr>
            </w:pPr>
            <w:r>
              <w:rPr>
                <w:sz w:val="21"/>
              </w:rPr>
              <w:t>护规划》</w:t>
            </w:r>
          </w:p>
        </w:tc>
      </w:tr>
    </w:tbl>
    <w:p>
      <w:pPr>
        <w:spacing w:line="250" w:lineRule="exact"/>
        <w:rPr>
          <w:sz w:val="21"/>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670"/>
        <w:gridCol w:w="718"/>
        <w:gridCol w:w="1164"/>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14" w:type="dxa"/>
            <w:gridSpan w:val="2"/>
            <w:tcBorders>
              <w:bottom w:val="single" w:color="000000" w:sz="4" w:space="0"/>
            </w:tcBorders>
          </w:tcPr>
          <w:p>
            <w:pPr>
              <w:pStyle w:val="12"/>
              <w:spacing w:before="3"/>
              <w:rPr>
                <w:b/>
                <w:sz w:val="17"/>
              </w:rPr>
            </w:pPr>
          </w:p>
          <w:p>
            <w:pPr>
              <w:pStyle w:val="12"/>
              <w:spacing w:before="1"/>
              <w:ind w:left="345"/>
              <w:rPr>
                <w:b/>
                <w:sz w:val="21"/>
              </w:rPr>
            </w:pPr>
            <w:r>
              <w:rPr>
                <w:b/>
                <w:sz w:val="21"/>
              </w:rPr>
              <w:t>属性</w:t>
            </w:r>
          </w:p>
        </w:tc>
        <w:tc>
          <w:tcPr>
            <w:tcW w:w="1882" w:type="dxa"/>
            <w:gridSpan w:val="2"/>
            <w:tcBorders>
              <w:top w:val="single" w:color="000000" w:sz="4" w:space="0"/>
              <w:bottom w:val="single" w:color="000000" w:sz="4" w:space="0"/>
            </w:tcBorders>
          </w:tcPr>
          <w:p>
            <w:pPr>
              <w:pStyle w:val="12"/>
              <w:rPr>
                <w:b/>
                <w:sz w:val="18"/>
              </w:rPr>
            </w:pPr>
          </w:p>
          <w:p>
            <w:pPr>
              <w:pStyle w:val="12"/>
              <w:ind w:left="707" w:right="707"/>
              <w:jc w:val="center"/>
              <w:rPr>
                <w:b/>
                <w:sz w:val="21"/>
              </w:rPr>
            </w:pPr>
            <w:r>
              <w:rPr>
                <w:b/>
                <w:sz w:val="21"/>
              </w:rPr>
              <w:t>管控</w:t>
            </w:r>
          </w:p>
        </w:tc>
        <w:tc>
          <w:tcPr>
            <w:tcW w:w="16110" w:type="dxa"/>
            <w:tcBorders>
              <w:top w:val="single" w:color="000000" w:sz="4" w:space="0"/>
              <w:bottom w:val="single" w:color="000000" w:sz="4" w:space="0"/>
            </w:tcBorders>
          </w:tcPr>
          <w:p>
            <w:pPr>
              <w:pStyle w:val="12"/>
              <w:rPr>
                <w:b/>
                <w:sz w:val="18"/>
              </w:rPr>
            </w:pPr>
          </w:p>
          <w:p>
            <w:pPr>
              <w:pStyle w:val="12"/>
              <w:ind w:left="7400" w:right="7400"/>
              <w:jc w:val="center"/>
              <w:rPr>
                <w:b/>
                <w:sz w:val="21"/>
              </w:rPr>
            </w:pPr>
            <w:r>
              <w:rPr>
                <w:b/>
                <w:sz w:val="21"/>
              </w:rPr>
              <w:t>管控要求</w:t>
            </w:r>
          </w:p>
        </w:tc>
        <w:tc>
          <w:tcPr>
            <w:tcW w:w="2693" w:type="dxa"/>
          </w:tcPr>
          <w:p>
            <w:pPr>
              <w:pStyle w:val="12"/>
              <w:spacing w:before="12"/>
              <w:rPr>
                <w:b/>
                <w:sz w:val="16"/>
              </w:rPr>
            </w:pPr>
          </w:p>
          <w:p>
            <w:pPr>
              <w:pStyle w:val="12"/>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444"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6" w:line="266" w:lineRule="auto"/>
              <w:ind w:left="107" w:right="117"/>
              <w:jc w:val="both"/>
              <w:rPr>
                <w:sz w:val="21"/>
              </w:rPr>
            </w:pPr>
            <w:r>
              <w:rPr>
                <w:sz w:val="21"/>
              </w:rPr>
              <w:t>自然保护地</w:t>
            </w:r>
          </w:p>
        </w:tc>
        <w:tc>
          <w:tcPr>
            <w:tcW w:w="670" w:type="dxa"/>
            <w:vMerge w:val="restart"/>
            <w:tcBorders>
              <w:top w:val="single" w:color="000000" w:sz="4" w:space="0"/>
              <w:bottom w:val="single" w:color="000000" w:sz="4" w:space="0"/>
            </w:tcBorders>
          </w:tcPr>
          <w:p>
            <w:pPr>
              <w:pStyle w:val="12"/>
              <w:rPr>
                <w:b/>
                <w:sz w:val="20"/>
              </w:rPr>
            </w:pPr>
          </w:p>
          <w:p>
            <w:pPr>
              <w:pStyle w:val="12"/>
              <w:spacing w:before="4"/>
              <w:rPr>
                <w:b/>
              </w:rPr>
            </w:pPr>
          </w:p>
          <w:p>
            <w:pPr>
              <w:pStyle w:val="12"/>
              <w:spacing w:line="232" w:lineRule="auto"/>
              <w:ind w:left="107" w:right="132"/>
              <w:jc w:val="both"/>
              <w:rPr>
                <w:sz w:val="21"/>
              </w:rPr>
            </w:pPr>
            <w:r>
              <w:rPr>
                <w:sz w:val="21"/>
              </w:rPr>
              <w:t>世界自然遗产地</w:t>
            </w:r>
          </w:p>
        </w:tc>
        <w:tc>
          <w:tcPr>
            <w:tcW w:w="1882" w:type="dxa"/>
            <w:gridSpan w:val="2"/>
            <w:tcBorders>
              <w:top w:val="single" w:color="000000" w:sz="4" w:space="0"/>
              <w:bottom w:val="single" w:color="000000" w:sz="4" w:space="0"/>
            </w:tcBorders>
          </w:tcPr>
          <w:p>
            <w:pPr>
              <w:pStyle w:val="12"/>
              <w:spacing w:before="7"/>
              <w:rPr>
                <w:b/>
                <w:sz w:val="20"/>
              </w:rPr>
            </w:pPr>
          </w:p>
          <w:p>
            <w:pPr>
              <w:pStyle w:val="12"/>
              <w:spacing w:before="1" w:line="232" w:lineRule="auto"/>
              <w:ind w:left="107" w:right="293"/>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7" w:line="230" w:lineRule="auto"/>
              <w:ind w:left="105" w:right="98"/>
              <w:rPr>
                <w:sz w:val="21"/>
              </w:rPr>
            </w:pPr>
            <w:r>
              <w:rPr>
                <w:b/>
                <w:sz w:val="21"/>
              </w:rPr>
              <w:t>第二十二条</w:t>
            </w:r>
            <w:r>
              <w:rPr>
                <w:spacing w:val="-7"/>
                <w:sz w:val="21"/>
              </w:rPr>
              <w:t>世界遗产地范围应划入禁止建设区域，不得开展与遗产资源保护无关的建设活动；缓冲区范围应划入限制建设区域，严格控制各类景观游赏及旅游服务设施建设活动。</w:t>
            </w:r>
          </w:p>
          <w:p>
            <w:pPr>
              <w:pStyle w:val="12"/>
              <w:spacing w:line="260" w:lineRule="exact"/>
              <w:ind w:left="105"/>
              <w:rPr>
                <w:sz w:val="21"/>
              </w:rPr>
            </w:pPr>
            <w:r>
              <w:rPr>
                <w:b/>
                <w:sz w:val="21"/>
              </w:rPr>
              <w:t>第二十三条</w:t>
            </w:r>
            <w:r>
              <w:rPr>
                <w:sz w:val="21"/>
              </w:rPr>
              <w:t>涉及风景名胜区的世界遗产，其保护管理规划应符合风景名胜区规划的空间管控要求，包含风景名胜区规划中风景名胜资源保护、建设用地范围和规划设计条件等</w:t>
            </w:r>
          </w:p>
          <w:p>
            <w:pPr>
              <w:pStyle w:val="12"/>
              <w:spacing w:line="235" w:lineRule="exact"/>
              <w:ind w:left="105"/>
              <w:rPr>
                <w:sz w:val="21"/>
              </w:rPr>
            </w:pPr>
            <w:r>
              <w:rPr>
                <w:sz w:val="21"/>
              </w:rPr>
              <w:t>内容。</w:t>
            </w:r>
          </w:p>
        </w:tc>
        <w:tc>
          <w:tcPr>
            <w:tcW w:w="2693" w:type="dxa"/>
            <w:vMerge w:val="restart"/>
            <w:tcBorders>
              <w:bottom w:val="single" w:color="000000" w:sz="4" w:space="0"/>
            </w:tcBorders>
          </w:tcPr>
          <w:p>
            <w:pPr>
              <w:pStyle w:val="12"/>
              <w:spacing w:before="1" w:line="364" w:lineRule="auto"/>
              <w:ind w:left="105" w:right="101"/>
              <w:rPr>
                <w:sz w:val="21"/>
              </w:rPr>
            </w:pPr>
            <w:r>
              <w:rPr>
                <w:spacing w:val="-10"/>
                <w:sz w:val="21"/>
              </w:rPr>
              <w:t>《世界自然遗产、自然与文</w:t>
            </w:r>
            <w:r>
              <w:rPr>
                <w:spacing w:val="-3"/>
                <w:sz w:val="21"/>
              </w:rPr>
              <w:t>化双遗产申报和保护管理办法（</w:t>
            </w:r>
            <w:r>
              <w:rPr>
                <w:spacing w:val="-2"/>
                <w:sz w:val="21"/>
              </w:rPr>
              <w:t>试行</w:t>
            </w:r>
            <w:r>
              <w:rPr>
                <w:spacing w:val="-10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1882" w:type="dxa"/>
            <w:gridSpan w:val="2"/>
            <w:tcBorders>
              <w:top w:val="single" w:color="000000" w:sz="4" w:space="0"/>
              <w:bottom w:val="single" w:color="000000" w:sz="4" w:space="0"/>
            </w:tcBorders>
          </w:tcPr>
          <w:p>
            <w:pPr>
              <w:pStyle w:val="12"/>
              <w:spacing w:before="9"/>
              <w:rPr>
                <w:b/>
                <w:sz w:val="21"/>
              </w:rPr>
            </w:pPr>
          </w:p>
          <w:p>
            <w:pPr>
              <w:pStyle w:val="12"/>
              <w:spacing w:line="232" w:lineRule="auto"/>
              <w:ind w:left="107" w:right="293"/>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9"/>
              <w:rPr>
                <w:b/>
                <w:sz w:val="21"/>
              </w:rPr>
            </w:pPr>
          </w:p>
          <w:p>
            <w:pPr>
              <w:pStyle w:val="12"/>
              <w:spacing w:line="232" w:lineRule="auto"/>
              <w:ind w:left="105" w:right="32"/>
              <w:rPr>
                <w:sz w:val="21"/>
              </w:rPr>
            </w:pPr>
            <w:r>
              <w:rPr>
                <w:b/>
                <w:sz w:val="21"/>
              </w:rPr>
              <w:t>第二十五条</w:t>
            </w:r>
            <w:r>
              <w:rPr>
                <w:spacing w:val="-9"/>
                <w:sz w:val="21"/>
              </w:rPr>
              <w:t>在世界遗产地及其缓冲区范围拟建设缆车、索道、高等级公路、铁路、大型水库等对遗产地突出价值可能造成较大影响的重大建设工程项目的，应当依据《世界遗</w:t>
            </w:r>
            <w:r>
              <w:rPr>
                <w:spacing w:val="-8"/>
                <w:sz w:val="21"/>
              </w:rPr>
              <w:t xml:space="preserve">产公约操作指南》第 </w:t>
            </w:r>
            <w:r>
              <w:rPr>
                <w:rFonts w:ascii="Calibri" w:eastAsia="Calibri"/>
                <w:spacing w:val="-3"/>
                <w:sz w:val="21"/>
              </w:rPr>
              <w:t xml:space="preserve">172 </w:t>
            </w:r>
            <w:r>
              <w:rPr>
                <w:spacing w:val="-6"/>
                <w:sz w:val="21"/>
              </w:rPr>
              <w:t xml:space="preserve">条的要求，至少在项目批准建设前 </w:t>
            </w:r>
            <w:r>
              <w:rPr>
                <w:rFonts w:ascii="Calibri" w:eastAsia="Calibri"/>
                <w:sz w:val="21"/>
              </w:rPr>
              <w:t xml:space="preserve">6 </w:t>
            </w:r>
            <w:r>
              <w:rPr>
                <w:spacing w:val="-3"/>
                <w:sz w:val="21"/>
              </w:rPr>
              <w:t>个月将项目选址方案、环境影响评价等材料经相应自然遗产管理部门按程序告联合国教科文组织世界遗产中心。</w:t>
            </w:r>
          </w:p>
        </w:tc>
        <w:tc>
          <w:tcPr>
            <w:tcW w:w="2693"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444" w:type="dxa"/>
            <w:vMerge w:val="continue"/>
            <w:tcBorders>
              <w:top w:val="nil"/>
              <w:bottom w:val="single" w:color="000000" w:sz="4" w:space="0"/>
            </w:tcBorders>
          </w:tcPr>
          <w:p>
            <w:pPr>
              <w:rPr>
                <w:sz w:val="2"/>
                <w:szCs w:val="2"/>
              </w:rPr>
            </w:pPr>
          </w:p>
        </w:tc>
        <w:tc>
          <w:tcPr>
            <w:tcW w:w="670"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21"/>
              </w:rPr>
            </w:pPr>
          </w:p>
          <w:p>
            <w:pPr>
              <w:pStyle w:val="12"/>
              <w:spacing w:line="232" w:lineRule="auto"/>
              <w:ind w:left="107" w:right="132"/>
              <w:rPr>
                <w:sz w:val="21"/>
              </w:rPr>
            </w:pPr>
            <w:r>
              <w:rPr>
                <w:sz w:val="21"/>
              </w:rPr>
              <w:t>地质公园</w:t>
            </w:r>
          </w:p>
        </w:tc>
        <w:tc>
          <w:tcPr>
            <w:tcW w:w="1882" w:type="dxa"/>
            <w:gridSpan w:val="2"/>
            <w:tcBorders>
              <w:top w:val="single" w:color="000000" w:sz="4" w:space="0"/>
              <w:bottom w:val="single" w:color="000000" w:sz="4" w:space="0"/>
            </w:tcBorders>
          </w:tcPr>
          <w:p>
            <w:pPr>
              <w:pStyle w:val="12"/>
              <w:rPr>
                <w:b/>
                <w:sz w:val="23"/>
              </w:rPr>
            </w:pPr>
          </w:p>
          <w:p>
            <w:pPr>
              <w:pStyle w:val="12"/>
              <w:spacing w:line="232" w:lineRule="auto"/>
              <w:ind w:left="107" w:right="293"/>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8"/>
              <w:rPr>
                <w:b/>
                <w:sz w:val="16"/>
              </w:rPr>
            </w:pPr>
          </w:p>
          <w:p>
            <w:pPr>
              <w:pStyle w:val="12"/>
              <w:spacing w:line="232" w:lineRule="auto"/>
              <w:ind w:left="105" w:right="1703"/>
              <w:rPr>
                <w:sz w:val="21"/>
              </w:rPr>
            </w:pPr>
            <w:r>
              <w:rPr>
                <w:b/>
                <w:sz w:val="21"/>
              </w:rPr>
              <w:t>第十七条</w:t>
            </w:r>
            <w:r>
              <w:rPr>
                <w:sz w:val="21"/>
              </w:rPr>
              <w:t>任何单位和个人不得在保护区内及可能对地质遗迹造成影响的一定范围内进行采石、取土、开矿、放牧、砍伐以及其它对保护对象有损害的活动。</w:t>
            </w:r>
            <w:r>
              <w:rPr>
                <w:b/>
                <w:sz w:val="21"/>
              </w:rPr>
              <w:t>第十八条</w:t>
            </w:r>
            <w:r>
              <w:rPr>
                <w:sz w:val="21"/>
              </w:rPr>
              <w:t>不得在保护区内修建与地质遗迹保护无关的厂房或其他建筑设施。</w:t>
            </w:r>
          </w:p>
        </w:tc>
        <w:tc>
          <w:tcPr>
            <w:tcW w:w="2693"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5"/>
              <w:ind w:left="105"/>
              <w:rPr>
                <w:sz w:val="21"/>
              </w:rPr>
            </w:pPr>
            <w:r>
              <w:rPr>
                <w:sz w:val="21"/>
              </w:rPr>
              <w:t>《地质遗迹保护管理规定》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1882" w:type="dxa"/>
            <w:gridSpan w:val="2"/>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spacing w:before="4"/>
              <w:rPr>
                <w:b/>
                <w:sz w:val="14"/>
              </w:rPr>
            </w:pPr>
          </w:p>
          <w:p>
            <w:pPr>
              <w:pStyle w:val="12"/>
              <w:spacing w:line="232" w:lineRule="auto"/>
              <w:ind w:left="107" w:right="293"/>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166" w:line="265" w:lineRule="exact"/>
              <w:ind w:left="105"/>
              <w:rPr>
                <w:rFonts w:ascii="Calibri" w:eastAsia="Calibri"/>
                <w:sz w:val="21"/>
              </w:rPr>
            </w:pPr>
            <w:r>
              <w:rPr>
                <w:b/>
                <w:sz w:val="21"/>
              </w:rPr>
              <w:t xml:space="preserve">第十一条 </w:t>
            </w:r>
            <w:r>
              <w:rPr>
                <w:sz w:val="21"/>
              </w:rPr>
              <w:t>保护程度的划分</w:t>
            </w:r>
            <w:r>
              <w:rPr>
                <w:rFonts w:ascii="Calibri" w:eastAsia="Calibri"/>
                <w:sz w:val="21"/>
              </w:rPr>
              <w:t>:</w:t>
            </w:r>
          </w:p>
          <w:p>
            <w:pPr>
              <w:pStyle w:val="12"/>
              <w:spacing w:line="260" w:lineRule="exact"/>
              <w:ind w:left="105"/>
              <w:rPr>
                <w:sz w:val="21"/>
              </w:rPr>
            </w:pPr>
            <w:r>
              <w:rPr>
                <w:sz w:val="21"/>
              </w:rPr>
              <w:t>对保护区内的地质遗迹可分别实施一级保护、二级保护和三级保护。</w:t>
            </w:r>
          </w:p>
          <w:p>
            <w:pPr>
              <w:pStyle w:val="12"/>
              <w:spacing w:before="4" w:line="230" w:lineRule="auto"/>
              <w:ind w:left="105" w:right="100"/>
              <w:rPr>
                <w:sz w:val="21"/>
              </w:rPr>
            </w:pPr>
            <w:r>
              <w:rPr>
                <w:sz w:val="21"/>
              </w:rPr>
              <w:t>一级保护</w:t>
            </w:r>
            <w:r>
              <w:rPr>
                <w:rFonts w:ascii="Calibri" w:eastAsia="Calibri"/>
                <w:sz w:val="21"/>
              </w:rPr>
              <w:t>:</w:t>
            </w:r>
            <w:r>
              <w:rPr>
                <w:sz w:val="21"/>
              </w:rPr>
              <w:t>对国际或国内具有极为罕见和重要科学价值的地质遗迹实施一级保护，非经批准不得入内。经设立该级地质遗迹保护区的人民政府地质矿产行政主管部门批准，可组织进行参观、科研或国际间交往。</w:t>
            </w:r>
          </w:p>
          <w:p>
            <w:pPr>
              <w:pStyle w:val="12"/>
              <w:spacing w:before="4" w:line="230" w:lineRule="auto"/>
              <w:ind w:left="105" w:right="100"/>
              <w:rPr>
                <w:sz w:val="21"/>
              </w:rPr>
            </w:pPr>
            <w:r>
              <w:rPr>
                <w:sz w:val="21"/>
              </w:rPr>
              <w:t>二级保护</w:t>
            </w:r>
            <w:r>
              <w:rPr>
                <w:rFonts w:ascii="Calibri" w:eastAsia="Calibri"/>
                <w:sz w:val="21"/>
              </w:rPr>
              <w:t>:</w:t>
            </w:r>
            <w:r>
              <w:rPr>
                <w:sz w:val="21"/>
              </w:rPr>
              <w:t>对大区域范围内具有重要科学价值的地质遗迹实施二级保护。经设立该级地质遗迹保护区的人民政府地质矿产行政主管部门批准，可有组织地进行科研、教学、学术交流及适当的旅游活动。</w:t>
            </w:r>
          </w:p>
          <w:p>
            <w:pPr>
              <w:pStyle w:val="12"/>
              <w:spacing w:line="232" w:lineRule="auto"/>
              <w:ind w:left="105" w:right="2911"/>
              <w:rPr>
                <w:sz w:val="21"/>
              </w:rPr>
            </w:pPr>
            <w:r>
              <w:rPr>
                <w:sz w:val="21"/>
              </w:rPr>
              <w:t>三级保护</w:t>
            </w:r>
            <w:r>
              <w:rPr>
                <w:rFonts w:ascii="Calibri" w:eastAsia="Calibri"/>
                <w:sz w:val="21"/>
              </w:rPr>
              <w:t>:</w:t>
            </w:r>
            <w:r>
              <w:rPr>
                <w:sz w:val="21"/>
              </w:rPr>
              <w:t>对具一定价值的地质遗迹实施三级保护。经设立该级地质遗迹保护区的人民政府地质矿产行政主管部门批准，可组织开展旅游活动。</w:t>
            </w:r>
            <w:r>
              <w:rPr>
                <w:b/>
                <w:sz w:val="21"/>
              </w:rPr>
              <w:t>第十七条</w:t>
            </w:r>
            <w:r>
              <w:rPr>
                <w:sz w:val="21"/>
              </w:rPr>
              <w:t>未经管理机构批准，不得在保护区范围内采集标本和化石。</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1882" w:type="dxa"/>
            <w:gridSpan w:val="2"/>
            <w:tcBorders>
              <w:top w:val="single" w:color="000000" w:sz="4" w:space="0"/>
              <w:bottom w:val="single" w:color="000000" w:sz="4" w:space="0"/>
            </w:tcBorders>
          </w:tcPr>
          <w:p>
            <w:pPr>
              <w:pStyle w:val="12"/>
              <w:spacing w:before="175" w:line="232" w:lineRule="auto"/>
              <w:ind w:left="107" w:right="293"/>
              <w:jc w:val="both"/>
              <w:rPr>
                <w:sz w:val="21"/>
              </w:rPr>
            </w:pPr>
            <w:r>
              <w:rPr>
                <w:sz w:val="21"/>
              </w:rPr>
              <w:t>不符合空间布局要求活动的退出要求</w:t>
            </w:r>
          </w:p>
        </w:tc>
        <w:tc>
          <w:tcPr>
            <w:tcW w:w="16110" w:type="dxa"/>
            <w:tcBorders>
              <w:top w:val="single" w:color="000000" w:sz="4" w:space="0"/>
              <w:bottom w:val="single" w:color="000000" w:sz="4" w:space="0"/>
            </w:tcBorders>
          </w:tcPr>
          <w:p>
            <w:pPr>
              <w:pStyle w:val="12"/>
              <w:rPr>
                <w:b/>
                <w:sz w:val="20"/>
              </w:rPr>
            </w:pPr>
          </w:p>
          <w:p>
            <w:pPr>
              <w:pStyle w:val="12"/>
              <w:spacing w:before="174"/>
              <w:ind w:left="105"/>
              <w:rPr>
                <w:sz w:val="21"/>
              </w:rPr>
            </w:pPr>
            <w:r>
              <w:rPr>
                <w:b/>
                <w:sz w:val="21"/>
              </w:rPr>
              <w:t>第十八条</w:t>
            </w:r>
            <w:r>
              <w:rPr>
                <w:sz w:val="21"/>
              </w:rPr>
              <w:t>对已建成并可能对地质遗迹造成污染或破坏的设施，应限期治理或停业外迁。</w:t>
            </w:r>
          </w:p>
        </w:tc>
        <w:tc>
          <w:tcPr>
            <w:tcW w:w="269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444" w:type="dxa"/>
            <w:vMerge w:val="continue"/>
            <w:tcBorders>
              <w:top w:val="nil"/>
              <w:bottom w:val="single" w:color="000000" w:sz="4" w:space="0"/>
            </w:tcBorders>
          </w:tcPr>
          <w:p>
            <w:pPr>
              <w:rPr>
                <w:sz w:val="2"/>
                <w:szCs w:val="2"/>
              </w:rPr>
            </w:pPr>
          </w:p>
        </w:tc>
        <w:tc>
          <w:tcPr>
            <w:tcW w:w="670"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7"/>
              </w:rPr>
            </w:pPr>
          </w:p>
          <w:p>
            <w:pPr>
              <w:pStyle w:val="12"/>
              <w:spacing w:line="266" w:lineRule="auto"/>
              <w:ind w:left="107" w:right="132"/>
              <w:jc w:val="both"/>
              <w:rPr>
                <w:sz w:val="21"/>
              </w:rPr>
            </w:pPr>
            <w:r>
              <w:rPr>
                <w:sz w:val="21"/>
              </w:rPr>
              <w:t>水产种质资源保护区</w:t>
            </w:r>
          </w:p>
        </w:tc>
        <w:tc>
          <w:tcPr>
            <w:tcW w:w="718" w:type="dxa"/>
            <w:vMerge w:val="restart"/>
            <w:tcBorders>
              <w:top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18"/>
              </w:rPr>
            </w:pPr>
          </w:p>
          <w:p>
            <w:pPr>
              <w:pStyle w:val="12"/>
              <w:spacing w:line="211" w:lineRule="auto"/>
              <w:ind w:left="107" w:right="178"/>
              <w:jc w:val="both"/>
              <w:rPr>
                <w:sz w:val="21"/>
              </w:rPr>
            </w:pPr>
            <w:r>
              <w:rPr>
                <w:sz w:val="21"/>
              </w:rPr>
              <w:t>国家级管控要求</w:t>
            </w:r>
          </w:p>
        </w:tc>
        <w:tc>
          <w:tcPr>
            <w:tcW w:w="1164" w:type="dxa"/>
            <w:tcBorders>
              <w:top w:val="single" w:color="000000" w:sz="4" w:space="0"/>
              <w:left w:val="single" w:color="000000" w:sz="4" w:space="0"/>
              <w:bottom w:val="single" w:color="000000" w:sz="4" w:space="0"/>
            </w:tcBorders>
          </w:tcPr>
          <w:p>
            <w:pPr>
              <w:pStyle w:val="12"/>
              <w:spacing w:before="7"/>
              <w:rPr>
                <w:b/>
                <w:sz w:val="29"/>
              </w:rPr>
            </w:pPr>
          </w:p>
          <w:p>
            <w:pPr>
              <w:pStyle w:val="12"/>
              <w:spacing w:line="211"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spacing w:before="7"/>
              <w:rPr>
                <w:b/>
                <w:sz w:val="20"/>
              </w:rPr>
            </w:pPr>
          </w:p>
          <w:p>
            <w:pPr>
              <w:pStyle w:val="12"/>
              <w:spacing w:line="208" w:lineRule="auto"/>
              <w:ind w:left="105" w:right="28"/>
              <w:rPr>
                <w:sz w:val="21"/>
              </w:rPr>
            </w:pPr>
            <w:r>
              <w:rPr>
                <w:b/>
                <w:sz w:val="21"/>
              </w:rPr>
              <w:t>第十六条</w:t>
            </w:r>
            <w:r>
              <w:rPr>
                <w:spacing w:val="-3"/>
                <w:sz w:val="21"/>
              </w:rPr>
              <w:t>农业部和省级人民政府渔业行政主管部门应当分别针对国家级和省级水产种质资源保护区主要保护对象的繁殖期、幼体生长期等生长繁育关键阶段设定特别保护期。特别保护期内不得从事捕捞、爆破作业以及其他可能对保护区内生物资源和生态环境造成损害的活动。</w:t>
            </w:r>
          </w:p>
          <w:p>
            <w:pPr>
              <w:pStyle w:val="12"/>
              <w:spacing w:before="5" w:line="208" w:lineRule="auto"/>
              <w:ind w:left="105" w:right="8638"/>
              <w:rPr>
                <w:sz w:val="21"/>
              </w:rPr>
            </w:pPr>
            <w:r>
              <w:rPr>
                <w:b/>
                <w:sz w:val="21"/>
              </w:rPr>
              <w:t>第二十条</w:t>
            </w:r>
            <w:r>
              <w:rPr>
                <w:sz w:val="21"/>
              </w:rPr>
              <w:t>禁止在水产种质资源保护区内从事围湖造田、围海造地或围填海工程。</w:t>
            </w:r>
            <w:r>
              <w:rPr>
                <w:b/>
                <w:sz w:val="21"/>
              </w:rPr>
              <w:t xml:space="preserve">第二十一条 </w:t>
            </w:r>
            <w:r>
              <w:rPr>
                <w:sz w:val="21"/>
              </w:rPr>
              <w:t>禁止在水产种质资源保护区内新建排污口。</w:t>
            </w:r>
          </w:p>
        </w:tc>
        <w:tc>
          <w:tcPr>
            <w:tcW w:w="2693" w:type="dxa"/>
          </w:tcPr>
          <w:p>
            <w:pPr>
              <w:pStyle w:val="12"/>
              <w:rPr>
                <w:b/>
                <w:sz w:val="20"/>
              </w:rPr>
            </w:pPr>
          </w:p>
          <w:p>
            <w:pPr>
              <w:pStyle w:val="12"/>
              <w:spacing w:before="8"/>
              <w:rPr>
                <w:b/>
                <w:sz w:val="15"/>
              </w:rPr>
            </w:pPr>
          </w:p>
          <w:p>
            <w:pPr>
              <w:pStyle w:val="12"/>
              <w:spacing w:line="244" w:lineRule="auto"/>
              <w:ind w:left="105" w:right="103"/>
              <w:rPr>
                <w:sz w:val="21"/>
              </w:rPr>
            </w:pPr>
            <w:r>
              <w:rPr>
                <w:sz w:val="21"/>
              </w:rPr>
              <w:t>《水产种质资源保护区管理（暂行）办法》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spacing w:before="12"/>
              <w:rPr>
                <w:b/>
                <w:sz w:val="29"/>
              </w:rPr>
            </w:pPr>
          </w:p>
          <w:p>
            <w:pPr>
              <w:pStyle w:val="12"/>
              <w:spacing w:line="211" w:lineRule="auto"/>
              <w:ind w:left="102" w:right="209"/>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spacing w:before="8"/>
              <w:rPr>
                <w:b/>
                <w:sz w:val="17"/>
              </w:rPr>
            </w:pPr>
          </w:p>
          <w:p>
            <w:pPr>
              <w:pStyle w:val="12"/>
              <w:ind w:left="105"/>
              <w:rPr>
                <w:sz w:val="21"/>
              </w:rPr>
            </w:pPr>
            <w:r>
              <w:rPr>
                <w:b/>
                <w:sz w:val="21"/>
              </w:rPr>
              <w:t>第二十九条</w:t>
            </w:r>
            <w:r>
              <w:rPr>
                <w:sz w:val="21"/>
              </w:rPr>
              <w:t>未经国务院渔业行政主管部门批准，任何单位或者个人不得在水产种质资源保护区内从事捕捞活动。</w:t>
            </w:r>
          </w:p>
        </w:tc>
        <w:tc>
          <w:tcPr>
            <w:tcW w:w="2693" w:type="dxa"/>
            <w:tcBorders>
              <w:bottom w:val="single" w:color="000000" w:sz="4" w:space="0"/>
            </w:tcBorders>
          </w:tcPr>
          <w:p>
            <w:pPr>
              <w:pStyle w:val="12"/>
              <w:spacing w:before="11"/>
              <w:rPr>
                <w:b/>
                <w:sz w:val="17"/>
              </w:rPr>
            </w:pPr>
          </w:p>
          <w:p>
            <w:pPr>
              <w:pStyle w:val="12"/>
              <w:ind w:left="105"/>
              <w:rPr>
                <w:sz w:val="21"/>
              </w:rPr>
            </w:pPr>
            <w:r>
              <w:rPr>
                <w:sz w:val="21"/>
              </w:rPr>
              <w:t>《中华人民共和国渔业法》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rPr>
                <w:b/>
                <w:sz w:val="20"/>
              </w:rPr>
            </w:pPr>
          </w:p>
          <w:p>
            <w:pPr>
              <w:pStyle w:val="12"/>
              <w:spacing w:before="11"/>
              <w:rPr>
                <w:b/>
              </w:rPr>
            </w:pPr>
          </w:p>
          <w:p>
            <w:pPr>
              <w:pStyle w:val="12"/>
              <w:spacing w:line="208" w:lineRule="auto"/>
              <w:ind w:left="105" w:right="126"/>
              <w:rPr>
                <w:sz w:val="21"/>
              </w:rPr>
            </w:pPr>
            <w:r>
              <w:rPr>
                <w:b/>
                <w:sz w:val="21"/>
              </w:rPr>
              <w:t xml:space="preserve">第十九条 </w:t>
            </w:r>
            <w:r>
              <w:rPr>
                <w:sz w:val="21"/>
              </w:rPr>
              <w:t>单位和个人在水产种质资源保护区内从事水生生物资源调查、科学研究、教学实习、参观游览、影视拍摄等活动，应当遵守有关法律法规和保护区管理制度，不得损害水产种质资源及其生存环境。</w:t>
            </w:r>
          </w:p>
          <w:p>
            <w:pPr>
              <w:pStyle w:val="12"/>
              <w:spacing w:line="211" w:lineRule="auto"/>
              <w:ind w:left="105" w:right="126"/>
              <w:rPr>
                <w:sz w:val="21"/>
              </w:rPr>
            </w:pPr>
            <w:r>
              <w:rPr>
                <w:b/>
                <w:sz w:val="21"/>
              </w:rPr>
              <w:t xml:space="preserve">第十七条 </w:t>
            </w:r>
            <w:r>
              <w:rPr>
                <w:sz w:val="21"/>
              </w:rPr>
              <w:t>在水产种质资源保护区内从事修建水利工程、疏浚航道、建闸筑坝、勘探和开采矿产资源、港口建设等工程建设的，或者在水产种质资源保护区外从事可能损害保护区功能的工程建设活动的，应当按照国家有关规定编制建设项目对水产种质资源保护区的影响专题论证报告，并将其纳入环境影响评价报告书。</w:t>
            </w:r>
          </w:p>
          <w:p>
            <w:pPr>
              <w:pStyle w:val="12"/>
              <w:spacing w:line="243" w:lineRule="exact"/>
              <w:ind w:left="105"/>
              <w:rPr>
                <w:sz w:val="21"/>
              </w:rPr>
            </w:pPr>
            <w:r>
              <w:rPr>
                <w:b/>
                <w:sz w:val="21"/>
              </w:rPr>
              <w:t>第二十一条</w:t>
            </w:r>
            <w:r>
              <w:rPr>
                <w:sz w:val="21"/>
              </w:rPr>
              <w:t>在水产种质资源保护区附近新建、改建、扩建排污口，应当保证保护区水体不受污染。</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spacing w:before="2"/>
              <w:rPr>
                <w:b/>
                <w:sz w:val="27"/>
              </w:rPr>
            </w:pPr>
          </w:p>
          <w:p>
            <w:pPr>
              <w:pStyle w:val="12"/>
              <w:spacing w:line="244" w:lineRule="auto"/>
              <w:ind w:left="105" w:right="103"/>
              <w:rPr>
                <w:sz w:val="21"/>
              </w:rPr>
            </w:pPr>
            <w:r>
              <w:rPr>
                <w:sz w:val="21"/>
              </w:rPr>
              <w:t>《水产种质资源保护区管理（暂行）办法》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restart"/>
            <w:tcBorders>
              <w:right w:val="single" w:color="000000" w:sz="4" w:space="0"/>
            </w:tcBorders>
          </w:tcPr>
          <w:p>
            <w:pPr>
              <w:pStyle w:val="12"/>
              <w:rPr>
                <w:b/>
                <w:sz w:val="20"/>
              </w:rPr>
            </w:pPr>
          </w:p>
          <w:p>
            <w:pPr>
              <w:pStyle w:val="12"/>
              <w:rPr>
                <w:b/>
                <w:sz w:val="20"/>
              </w:rPr>
            </w:pPr>
          </w:p>
          <w:p>
            <w:pPr>
              <w:pStyle w:val="12"/>
              <w:spacing w:before="5"/>
              <w:rPr>
                <w:b/>
                <w:sz w:val="21"/>
              </w:rPr>
            </w:pPr>
          </w:p>
          <w:p>
            <w:pPr>
              <w:pStyle w:val="12"/>
              <w:spacing w:line="208" w:lineRule="auto"/>
              <w:ind w:left="107" w:right="178"/>
              <w:jc w:val="both"/>
              <w:rPr>
                <w:sz w:val="21"/>
              </w:rPr>
            </w:pPr>
            <w:r>
              <w:rPr>
                <w:sz w:val="21"/>
              </w:rPr>
              <w:t>省级管控要求</w:t>
            </w: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spacing w:before="5"/>
              <w:rPr>
                <w:b/>
                <w:sz w:val="21"/>
              </w:rPr>
            </w:pPr>
          </w:p>
          <w:p>
            <w:pPr>
              <w:pStyle w:val="12"/>
              <w:spacing w:line="208" w:lineRule="auto"/>
              <w:ind w:left="102" w:right="209"/>
              <w:jc w:val="both"/>
              <w:rPr>
                <w:sz w:val="21"/>
              </w:rPr>
            </w:pPr>
            <w:r>
              <w:rPr>
                <w:sz w:val="21"/>
              </w:rPr>
              <w:t>禁止开发建设活动的要求</w:t>
            </w:r>
          </w:p>
        </w:tc>
        <w:tc>
          <w:tcPr>
            <w:tcW w:w="16110" w:type="dxa"/>
            <w:tcBorders>
              <w:top w:val="single" w:color="000000" w:sz="4" w:space="0"/>
            </w:tcBorders>
          </w:tcPr>
          <w:p>
            <w:pPr>
              <w:pStyle w:val="12"/>
              <w:spacing w:before="5"/>
              <w:rPr>
                <w:b/>
                <w:sz w:val="27"/>
              </w:rPr>
            </w:pPr>
          </w:p>
          <w:p>
            <w:pPr>
              <w:pStyle w:val="12"/>
              <w:ind w:left="105"/>
              <w:rPr>
                <w:sz w:val="21"/>
              </w:rPr>
            </w:pPr>
            <w:r>
              <w:rPr>
                <w:b/>
                <w:sz w:val="21"/>
              </w:rPr>
              <w:t>第十七条</w:t>
            </w:r>
            <w:r>
              <w:rPr>
                <w:sz w:val="21"/>
              </w:rPr>
              <w:t>禁止在禁渔期、禁渔区、水产种质资源保护区、水生动植物自然保护区内从事捕捞、扎巢捕杀亲体和其他危害渔业资源的活动。</w:t>
            </w:r>
          </w:p>
        </w:tc>
        <w:tc>
          <w:tcPr>
            <w:tcW w:w="2693" w:type="dxa"/>
            <w:tcBorders>
              <w:top w:val="single" w:color="000000" w:sz="4" w:space="0"/>
              <w:bottom w:val="single" w:color="000000" w:sz="4" w:space="0"/>
            </w:tcBorders>
          </w:tcPr>
          <w:p>
            <w:pPr>
              <w:pStyle w:val="12"/>
              <w:rPr>
                <w:b/>
                <w:sz w:val="20"/>
              </w:rPr>
            </w:pPr>
          </w:p>
          <w:p>
            <w:pPr>
              <w:pStyle w:val="12"/>
              <w:spacing w:before="143"/>
              <w:ind w:left="105"/>
              <w:rPr>
                <w:sz w:val="21"/>
              </w:rPr>
            </w:pPr>
            <w:r>
              <w:rPr>
                <w:sz w:val="21"/>
              </w:rPr>
              <w:t>《贵州省渔业条例》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444" w:type="dxa"/>
            <w:vMerge w:val="continue"/>
            <w:tcBorders>
              <w:top w:val="nil"/>
              <w:bottom w:val="single" w:color="000000" w:sz="4" w:space="0"/>
            </w:tcBorders>
          </w:tcPr>
          <w:p>
            <w:pPr>
              <w:rPr>
                <w:sz w:val="2"/>
                <w:szCs w:val="2"/>
              </w:rPr>
            </w:pPr>
          </w:p>
        </w:tc>
        <w:tc>
          <w:tcPr>
            <w:tcW w:w="670" w:type="dxa"/>
            <w:vMerge w:val="continue"/>
            <w:tcBorders>
              <w:top w:val="nil"/>
              <w:bottom w:val="single" w:color="000000" w:sz="4" w:space="0"/>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bottom w:val="single" w:color="000000" w:sz="4" w:space="0"/>
            </w:tcBorders>
          </w:tcPr>
          <w:p>
            <w:pPr>
              <w:pStyle w:val="12"/>
              <w:rPr>
                <w:b/>
                <w:sz w:val="20"/>
              </w:rPr>
            </w:pPr>
          </w:p>
          <w:p>
            <w:pPr>
              <w:pStyle w:val="12"/>
              <w:rPr>
                <w:b/>
                <w:sz w:val="23"/>
              </w:rPr>
            </w:pPr>
          </w:p>
          <w:p>
            <w:pPr>
              <w:pStyle w:val="12"/>
              <w:ind w:left="105"/>
              <w:rPr>
                <w:sz w:val="21"/>
              </w:rPr>
            </w:pPr>
            <w:r>
              <w:rPr>
                <w:sz w:val="21"/>
              </w:rPr>
              <w:t>水产种质资源保护区核心区内严禁从事任何生产建设活动。</w:t>
            </w:r>
          </w:p>
        </w:tc>
        <w:tc>
          <w:tcPr>
            <w:tcW w:w="2693" w:type="dxa"/>
            <w:tcBorders>
              <w:top w:val="single" w:color="000000" w:sz="4" w:space="0"/>
              <w:bottom w:val="single" w:color="000000" w:sz="4" w:space="0"/>
            </w:tcBorders>
          </w:tcPr>
          <w:p>
            <w:pPr>
              <w:pStyle w:val="12"/>
              <w:rPr>
                <w:b/>
                <w:sz w:val="20"/>
              </w:rPr>
            </w:pPr>
          </w:p>
          <w:p>
            <w:pPr>
              <w:pStyle w:val="12"/>
              <w:rPr>
                <w:b/>
                <w:sz w:val="23"/>
              </w:rPr>
            </w:pPr>
          </w:p>
          <w:p>
            <w:pPr>
              <w:pStyle w:val="12"/>
              <w:ind w:left="105"/>
              <w:rPr>
                <w:sz w:val="21"/>
              </w:rPr>
            </w:pPr>
            <w:r>
              <w:rPr>
                <w:sz w:val="21"/>
              </w:rPr>
              <w:t>《贵州省主体功能区划》</w:t>
            </w:r>
          </w:p>
        </w:tc>
      </w:tr>
    </w:tbl>
    <w:p>
      <w:pPr>
        <w:rPr>
          <w:sz w:val="21"/>
        </w:rPr>
        <w:sectPr>
          <w:pgSz w:w="23760" w:h="16790" w:orient="landscape"/>
          <w:pgMar w:top="1080" w:right="660" w:bottom="1080" w:left="860" w:header="0" w:footer="894" w:gutter="0"/>
          <w:cols w:space="720" w:num="1"/>
        </w:sectPr>
      </w:pPr>
    </w:p>
    <w:tbl>
      <w:tblPr>
        <w:tblStyle w:val="3"/>
        <w:tblW w:w="21799"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670"/>
        <w:gridCol w:w="718"/>
        <w:gridCol w:w="1164"/>
        <w:gridCol w:w="16110"/>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14" w:type="dxa"/>
            <w:gridSpan w:val="2"/>
            <w:tcBorders>
              <w:bottom w:val="single" w:color="000000" w:sz="4" w:space="0"/>
            </w:tcBorders>
          </w:tcPr>
          <w:p>
            <w:pPr>
              <w:pStyle w:val="12"/>
              <w:spacing w:before="78"/>
              <w:ind w:left="345"/>
              <w:rPr>
                <w:b/>
                <w:sz w:val="21"/>
              </w:rPr>
            </w:pPr>
            <w:r>
              <w:rPr>
                <w:b/>
                <w:sz w:val="21"/>
              </w:rPr>
              <w:t>属性</w:t>
            </w:r>
          </w:p>
        </w:tc>
        <w:tc>
          <w:tcPr>
            <w:tcW w:w="1882" w:type="dxa"/>
            <w:gridSpan w:val="2"/>
          </w:tcPr>
          <w:p>
            <w:pPr>
              <w:pStyle w:val="12"/>
              <w:spacing w:before="82"/>
              <w:ind w:left="707" w:right="707"/>
              <w:jc w:val="center"/>
              <w:rPr>
                <w:b/>
                <w:sz w:val="21"/>
              </w:rPr>
            </w:pPr>
            <w:r>
              <w:rPr>
                <w:b/>
                <w:sz w:val="21"/>
              </w:rPr>
              <w:t>管控</w:t>
            </w:r>
          </w:p>
        </w:tc>
        <w:tc>
          <w:tcPr>
            <w:tcW w:w="16110" w:type="dxa"/>
            <w:tcBorders>
              <w:bottom w:val="single" w:color="000000" w:sz="4" w:space="0"/>
            </w:tcBorders>
          </w:tcPr>
          <w:p>
            <w:pPr>
              <w:pStyle w:val="12"/>
              <w:spacing w:before="82"/>
              <w:ind w:left="7400" w:right="7400"/>
              <w:jc w:val="center"/>
              <w:rPr>
                <w:b/>
                <w:sz w:val="21"/>
              </w:rPr>
            </w:pPr>
            <w:r>
              <w:rPr>
                <w:b/>
                <w:sz w:val="21"/>
              </w:rPr>
              <w:t>管控要求</w:t>
            </w:r>
          </w:p>
        </w:tc>
        <w:tc>
          <w:tcPr>
            <w:tcW w:w="2693" w:type="dxa"/>
            <w:tcBorders>
              <w:top w:val="single" w:color="000000" w:sz="4" w:space="0"/>
              <w:bottom w:val="single" w:color="000000" w:sz="4" w:space="0"/>
            </w:tcBorders>
          </w:tcPr>
          <w:p>
            <w:pPr>
              <w:pStyle w:val="12"/>
              <w:spacing w:before="82"/>
              <w:ind w:left="41" w:right="41"/>
              <w:jc w:val="center"/>
              <w:rPr>
                <w:b/>
                <w:sz w:val="21"/>
              </w:rPr>
            </w:pPr>
            <w:r>
              <w:rPr>
                <w:b/>
                <w:sz w:val="21"/>
              </w:rPr>
              <w:t>编制依据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444"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1" w:line="249" w:lineRule="auto"/>
              <w:ind w:left="107" w:right="117"/>
              <w:jc w:val="both"/>
              <w:rPr>
                <w:sz w:val="21"/>
              </w:rPr>
            </w:pPr>
            <w:r>
              <w:rPr>
                <w:sz w:val="21"/>
              </w:rPr>
              <w:t>要保护地</w:t>
            </w:r>
          </w:p>
        </w:tc>
        <w:tc>
          <w:tcPr>
            <w:tcW w:w="67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21"/>
              </w:rPr>
            </w:pPr>
          </w:p>
          <w:p>
            <w:pPr>
              <w:pStyle w:val="12"/>
              <w:spacing w:line="249" w:lineRule="auto"/>
              <w:ind w:left="107" w:right="132"/>
              <w:rPr>
                <w:sz w:val="21"/>
              </w:rPr>
            </w:pPr>
            <w:r>
              <w:rPr>
                <w:sz w:val="21"/>
              </w:rPr>
              <w:t>天然林</w:t>
            </w:r>
          </w:p>
        </w:tc>
        <w:tc>
          <w:tcPr>
            <w:tcW w:w="718" w:type="dxa"/>
            <w:vMerge w:val="restart"/>
            <w:tcBorders>
              <w:bottom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9"/>
              <w:rPr>
                <w:b/>
                <w:sz w:val="20"/>
              </w:rPr>
            </w:pPr>
          </w:p>
          <w:p>
            <w:pPr>
              <w:pStyle w:val="12"/>
              <w:spacing w:line="211" w:lineRule="auto"/>
              <w:ind w:left="107" w:right="178"/>
              <w:jc w:val="both"/>
              <w:rPr>
                <w:sz w:val="21"/>
              </w:rPr>
            </w:pPr>
            <w:r>
              <w:rPr>
                <w:sz w:val="21"/>
              </w:rPr>
              <w:t>国家级管控要求</w:t>
            </w:r>
          </w:p>
        </w:tc>
        <w:tc>
          <w:tcPr>
            <w:tcW w:w="1164" w:type="dxa"/>
            <w:vMerge w:val="restart"/>
            <w:tcBorders>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6"/>
              <w:rPr>
                <w:b/>
                <w:sz w:val="26"/>
              </w:rPr>
            </w:pPr>
          </w:p>
          <w:p>
            <w:pPr>
              <w:pStyle w:val="12"/>
              <w:spacing w:before="1" w:line="211"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rPr>
                <w:b/>
                <w:sz w:val="20"/>
              </w:rPr>
            </w:pPr>
          </w:p>
          <w:p>
            <w:pPr>
              <w:pStyle w:val="12"/>
              <w:spacing w:before="1"/>
              <w:rPr>
                <w:b/>
                <w:sz w:val="18"/>
              </w:rPr>
            </w:pPr>
          </w:p>
          <w:p>
            <w:pPr>
              <w:pStyle w:val="12"/>
              <w:ind w:left="105"/>
              <w:rPr>
                <w:sz w:val="21"/>
              </w:rPr>
            </w:pPr>
            <w:r>
              <w:rPr>
                <w:sz w:val="21"/>
              </w:rPr>
              <w:t>（四）对全国所有天然林实行保护，禁止毁林开垦、将天然林改造为人工林以及其他破坏天然林及其生态环境的行为。</w:t>
            </w:r>
          </w:p>
          <w:p>
            <w:pPr>
              <w:pStyle w:val="12"/>
              <w:spacing w:before="22"/>
              <w:ind w:left="105"/>
              <w:rPr>
                <w:sz w:val="21"/>
              </w:rPr>
            </w:pPr>
            <w:r>
              <w:rPr>
                <w:sz w:val="21"/>
              </w:rPr>
              <w:t>（七）全面停止天然林商品性采伐。对纳入保护重点区域的天然林，除森林病虫害防治、森林防火等维护天然林生态系统健康的必要措施外，禁止其他一切生产经营活动。</w:t>
            </w:r>
          </w:p>
          <w:p>
            <w:pPr>
              <w:pStyle w:val="12"/>
              <w:spacing w:before="4"/>
              <w:ind w:left="105"/>
              <w:rPr>
                <w:sz w:val="21"/>
              </w:rPr>
            </w:pPr>
            <w:r>
              <w:rPr>
                <w:sz w:val="21"/>
              </w:rPr>
              <w:t>（八）严管天然林地占用。严格控制天然林转为其他用途，除国防建设、国家重大工程项目建设特殊需要外，禁止占用保护重点区域的天然林地。</w:t>
            </w:r>
          </w:p>
        </w:tc>
        <w:tc>
          <w:tcPr>
            <w:tcW w:w="2693" w:type="dxa"/>
            <w:tcBorders>
              <w:top w:val="single" w:color="000000" w:sz="4" w:space="0"/>
              <w:bottom w:val="single" w:color="000000" w:sz="4" w:space="0"/>
            </w:tcBorders>
          </w:tcPr>
          <w:p>
            <w:pPr>
              <w:pStyle w:val="12"/>
              <w:rPr>
                <w:b/>
                <w:sz w:val="20"/>
              </w:rPr>
            </w:pPr>
          </w:p>
          <w:p>
            <w:pPr>
              <w:pStyle w:val="12"/>
              <w:spacing w:before="9"/>
              <w:rPr>
                <w:b/>
                <w:sz w:val="23"/>
              </w:rPr>
            </w:pPr>
          </w:p>
          <w:p>
            <w:pPr>
              <w:pStyle w:val="12"/>
              <w:spacing w:line="357" w:lineRule="auto"/>
              <w:ind w:left="105" w:right="103"/>
              <w:rPr>
                <w:sz w:val="21"/>
              </w:rPr>
            </w:pPr>
            <w:r>
              <w:rPr>
                <w:sz w:val="21"/>
              </w:rPr>
              <w:t>《天然林保护修复制度方案》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spacing w:before="118" w:line="252" w:lineRule="exact"/>
              <w:ind w:left="105"/>
              <w:rPr>
                <w:sz w:val="21"/>
              </w:rPr>
            </w:pPr>
            <w:r>
              <w:rPr>
                <w:sz w:val="21"/>
              </w:rPr>
              <w:t>不得从事下列活动</w:t>
            </w:r>
          </w:p>
          <w:p>
            <w:pPr>
              <w:pStyle w:val="12"/>
              <w:spacing w:line="236" w:lineRule="exact"/>
              <w:ind w:left="105"/>
              <w:rPr>
                <w:sz w:val="21"/>
              </w:rPr>
            </w:pPr>
            <w:r>
              <w:rPr>
                <w:sz w:val="21"/>
              </w:rPr>
              <w:t>（一）盗伐滥伐森林和林木。</w:t>
            </w:r>
          </w:p>
          <w:p>
            <w:pPr>
              <w:pStyle w:val="12"/>
              <w:spacing w:line="236" w:lineRule="exact"/>
              <w:ind w:left="105"/>
              <w:rPr>
                <w:sz w:val="21"/>
              </w:rPr>
            </w:pPr>
            <w:r>
              <w:rPr>
                <w:sz w:val="21"/>
              </w:rPr>
              <w:t>（二）在幼林地和特种用途林内砍柴、放牧。</w:t>
            </w:r>
          </w:p>
          <w:p>
            <w:pPr>
              <w:pStyle w:val="12"/>
              <w:spacing w:line="235" w:lineRule="exact"/>
              <w:ind w:left="105"/>
              <w:rPr>
                <w:sz w:val="21"/>
              </w:rPr>
            </w:pPr>
            <w:r>
              <w:rPr>
                <w:sz w:val="21"/>
              </w:rPr>
              <w:t>（三）毁林开垦和毁林采石、采砂、采土以及其他毁林行为。</w:t>
            </w:r>
          </w:p>
          <w:p>
            <w:pPr>
              <w:pStyle w:val="12"/>
              <w:spacing w:line="236" w:lineRule="exact"/>
              <w:ind w:left="105"/>
              <w:rPr>
                <w:sz w:val="21"/>
              </w:rPr>
            </w:pPr>
            <w:r>
              <w:rPr>
                <w:sz w:val="21"/>
              </w:rPr>
              <w:t>（四）擅自修建房舍和其他永久性建筑。</w:t>
            </w:r>
          </w:p>
          <w:p>
            <w:pPr>
              <w:pStyle w:val="12"/>
              <w:spacing w:line="253" w:lineRule="exact"/>
              <w:ind w:left="105"/>
              <w:rPr>
                <w:sz w:val="21"/>
              </w:rPr>
            </w:pPr>
            <w:r>
              <w:rPr>
                <w:sz w:val="21"/>
              </w:rPr>
              <w:t>（五）违法猎捕野生保护动物和采挖重点野生保护植物。</w:t>
            </w:r>
          </w:p>
        </w:tc>
        <w:tc>
          <w:tcPr>
            <w:tcW w:w="2693" w:type="dxa"/>
            <w:tcBorders>
              <w:top w:val="single" w:color="000000" w:sz="4" w:space="0"/>
              <w:bottom w:val="single" w:color="000000" w:sz="4" w:space="0"/>
            </w:tcBorders>
          </w:tcPr>
          <w:p>
            <w:pPr>
              <w:pStyle w:val="12"/>
              <w:rPr>
                <w:b/>
                <w:sz w:val="20"/>
              </w:rPr>
            </w:pPr>
          </w:p>
          <w:p>
            <w:pPr>
              <w:pStyle w:val="12"/>
              <w:rPr>
                <w:b/>
                <w:sz w:val="25"/>
              </w:rPr>
            </w:pPr>
          </w:p>
          <w:p>
            <w:pPr>
              <w:pStyle w:val="12"/>
              <w:spacing w:line="266" w:lineRule="auto"/>
              <w:ind w:left="105" w:right="103"/>
              <w:rPr>
                <w:sz w:val="21"/>
              </w:rPr>
            </w:pPr>
            <w:r>
              <w:rPr>
                <w:sz w:val="21"/>
              </w:rPr>
              <w:t>《天然林资源保护工程森林管护管理办法》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rPr>
                <w:b/>
                <w:sz w:val="20"/>
              </w:rPr>
            </w:pPr>
          </w:p>
          <w:p>
            <w:pPr>
              <w:pStyle w:val="12"/>
              <w:spacing w:before="173" w:line="208" w:lineRule="auto"/>
              <w:ind w:left="105" w:right="30"/>
              <w:rPr>
                <w:sz w:val="21"/>
              </w:rPr>
            </w:pPr>
            <w:r>
              <w:rPr>
                <w:spacing w:val="-3"/>
                <w:sz w:val="21"/>
              </w:rPr>
              <w:t>二、严格控制天然林树木采挖移植，依法禁止采挖原生地天然濒危、珍稀树木，国家一级保护野生植物，古树名木，以及名胜古迹、革命纪念地、国家公益林、自然保护区、</w:t>
            </w:r>
            <w:r>
              <w:rPr>
                <w:spacing w:val="-9"/>
                <w:sz w:val="21"/>
              </w:rPr>
              <w:t>省级以上森林公园、国家级林木种质资源库、国家重点林木良种基地、生态脆弱地区和生态区位重要地区的树木。天然大树是地带性森林群落的重要标志，严禁移植天然大树进城。</w:t>
            </w:r>
          </w:p>
        </w:tc>
        <w:tc>
          <w:tcPr>
            <w:tcW w:w="2693" w:type="dxa"/>
            <w:tcBorders>
              <w:top w:val="single" w:color="000000" w:sz="4" w:space="0"/>
              <w:bottom w:val="single" w:color="000000" w:sz="4" w:space="0"/>
            </w:tcBorders>
          </w:tcPr>
          <w:p>
            <w:pPr>
              <w:pStyle w:val="12"/>
              <w:rPr>
                <w:b/>
                <w:sz w:val="20"/>
              </w:rPr>
            </w:pPr>
          </w:p>
          <w:p>
            <w:pPr>
              <w:pStyle w:val="12"/>
              <w:spacing w:before="5"/>
              <w:rPr>
                <w:b/>
                <w:sz w:val="19"/>
              </w:rPr>
            </w:pPr>
          </w:p>
          <w:p>
            <w:pPr>
              <w:pStyle w:val="12"/>
              <w:spacing w:line="266" w:lineRule="auto"/>
              <w:ind w:left="105" w:right="103"/>
              <w:rPr>
                <w:sz w:val="21"/>
              </w:rPr>
            </w:pPr>
            <w:r>
              <w:rPr>
                <w:sz w:val="21"/>
              </w:rPr>
              <w:t>《国家林业局关于严格保护天然林的通知》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bottom w:val="single" w:color="000000" w:sz="4" w:space="0"/>
              <w:right w:val="single" w:color="000000" w:sz="4" w:space="0"/>
            </w:tcBorders>
          </w:tcPr>
          <w:p>
            <w:pPr>
              <w:rPr>
                <w:sz w:val="2"/>
                <w:szCs w:val="2"/>
              </w:rPr>
            </w:pPr>
          </w:p>
        </w:tc>
        <w:tc>
          <w:tcPr>
            <w:tcW w:w="1164" w:type="dxa"/>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spacing w:before="7"/>
              <w:rPr>
                <w:b/>
                <w:sz w:val="15"/>
              </w:rPr>
            </w:pPr>
          </w:p>
          <w:p>
            <w:pPr>
              <w:pStyle w:val="12"/>
              <w:spacing w:before="1" w:line="211" w:lineRule="auto"/>
              <w:ind w:left="102" w:right="209"/>
              <w:jc w:val="both"/>
              <w:rPr>
                <w:sz w:val="21"/>
              </w:rPr>
            </w:pPr>
            <w:r>
              <w:rPr>
                <w:sz w:val="21"/>
              </w:rPr>
              <w:t>限制开发建设活动的要求</w:t>
            </w:r>
          </w:p>
        </w:tc>
        <w:tc>
          <w:tcPr>
            <w:tcW w:w="16110" w:type="dxa"/>
            <w:tcBorders>
              <w:top w:val="single" w:color="000000" w:sz="4" w:space="0"/>
              <w:bottom w:val="single" w:color="000000" w:sz="4" w:space="0"/>
            </w:tcBorders>
          </w:tcPr>
          <w:p>
            <w:pPr>
              <w:pStyle w:val="12"/>
              <w:rPr>
                <w:b/>
                <w:sz w:val="20"/>
              </w:rPr>
            </w:pPr>
          </w:p>
          <w:p>
            <w:pPr>
              <w:pStyle w:val="12"/>
              <w:rPr>
                <w:b/>
                <w:sz w:val="20"/>
              </w:rPr>
            </w:pPr>
          </w:p>
          <w:p>
            <w:pPr>
              <w:pStyle w:val="12"/>
              <w:spacing w:before="9"/>
              <w:rPr>
                <w:b/>
                <w:sz w:val="21"/>
              </w:rPr>
            </w:pPr>
          </w:p>
          <w:p>
            <w:pPr>
              <w:pStyle w:val="12"/>
              <w:ind w:left="105"/>
              <w:rPr>
                <w:sz w:val="21"/>
              </w:rPr>
            </w:pPr>
            <w:r>
              <w:rPr>
                <w:sz w:val="21"/>
              </w:rPr>
              <w:t>（七）开展天然林抚育作业的，必须编制作业设计，经林业主管部门审查批准后实施。</w:t>
            </w:r>
          </w:p>
          <w:p>
            <w:pPr>
              <w:pStyle w:val="12"/>
              <w:spacing w:before="4"/>
              <w:ind w:left="105"/>
              <w:rPr>
                <w:sz w:val="21"/>
              </w:rPr>
            </w:pPr>
            <w:r>
              <w:rPr>
                <w:sz w:val="21"/>
              </w:rPr>
              <w:t>（八）在不破坏地表植被、不影响生物多样性保护前提下，可在天然林地适度发展生态旅游、休闲康养、特色种植养殖等产业。</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spacing w:before="11"/>
              <w:rPr>
                <w:b/>
                <w:sz w:val="21"/>
              </w:rPr>
            </w:pPr>
          </w:p>
          <w:p>
            <w:pPr>
              <w:pStyle w:val="12"/>
              <w:spacing w:line="266" w:lineRule="auto"/>
              <w:ind w:left="105" w:right="100"/>
              <w:rPr>
                <w:sz w:val="21"/>
              </w:rPr>
            </w:pPr>
            <w:r>
              <w:rPr>
                <w:sz w:val="21"/>
              </w:rPr>
              <w:t>《天然林保护修复制度方案》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restart"/>
            <w:tcBorders>
              <w:top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9"/>
              <w:rPr>
                <w:b/>
                <w:sz w:val="28"/>
              </w:rPr>
            </w:pPr>
          </w:p>
          <w:p>
            <w:pPr>
              <w:pStyle w:val="12"/>
              <w:spacing w:line="211" w:lineRule="auto"/>
              <w:ind w:left="107" w:right="178"/>
              <w:jc w:val="both"/>
              <w:rPr>
                <w:sz w:val="21"/>
              </w:rPr>
            </w:pPr>
            <w:r>
              <w:rPr>
                <w:sz w:val="21"/>
              </w:rPr>
              <w:t>地方级管控要求</w:t>
            </w:r>
          </w:p>
        </w:tc>
        <w:tc>
          <w:tcPr>
            <w:tcW w:w="1164" w:type="dxa"/>
            <w:vMerge w:val="restart"/>
            <w:tcBorders>
              <w:top w:val="single" w:color="000000" w:sz="4" w:space="0"/>
              <w:left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18"/>
              </w:rPr>
            </w:pPr>
          </w:p>
          <w:p>
            <w:pPr>
              <w:pStyle w:val="12"/>
              <w:spacing w:before="1" w:line="211" w:lineRule="auto"/>
              <w:ind w:left="102" w:right="209"/>
              <w:jc w:val="both"/>
              <w:rPr>
                <w:sz w:val="21"/>
              </w:rPr>
            </w:pPr>
            <w:r>
              <w:rPr>
                <w:sz w:val="21"/>
              </w:rPr>
              <w:t>禁止开发建设活动的要求</w:t>
            </w:r>
          </w:p>
        </w:tc>
        <w:tc>
          <w:tcPr>
            <w:tcW w:w="16110" w:type="dxa"/>
            <w:tcBorders>
              <w:top w:val="single" w:color="000000" w:sz="4" w:space="0"/>
              <w:bottom w:val="single" w:color="000000" w:sz="4" w:space="0"/>
            </w:tcBorders>
          </w:tcPr>
          <w:p>
            <w:pPr>
              <w:pStyle w:val="12"/>
              <w:rPr>
                <w:b/>
                <w:sz w:val="20"/>
              </w:rPr>
            </w:pPr>
          </w:p>
          <w:p>
            <w:pPr>
              <w:pStyle w:val="12"/>
              <w:rPr>
                <w:b/>
                <w:sz w:val="20"/>
              </w:rPr>
            </w:pPr>
          </w:p>
          <w:p>
            <w:pPr>
              <w:pStyle w:val="12"/>
              <w:spacing w:before="7"/>
              <w:rPr>
                <w:b/>
                <w:sz w:val="20"/>
              </w:rPr>
            </w:pPr>
          </w:p>
          <w:p>
            <w:pPr>
              <w:pStyle w:val="12"/>
              <w:ind w:left="105"/>
              <w:rPr>
                <w:sz w:val="21"/>
              </w:rPr>
            </w:pPr>
            <w:r>
              <w:rPr>
                <w:b/>
                <w:sz w:val="21"/>
              </w:rPr>
              <w:t>第十四条</w:t>
            </w:r>
            <w:r>
              <w:rPr>
                <w:sz w:val="21"/>
              </w:rPr>
              <w:t>禁止采伐天然林。</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spacing w:before="1"/>
              <w:rPr>
                <w:b/>
              </w:rPr>
            </w:pPr>
          </w:p>
          <w:p>
            <w:pPr>
              <w:pStyle w:val="12"/>
              <w:ind w:left="105"/>
              <w:rPr>
                <w:sz w:val="21"/>
              </w:rPr>
            </w:pPr>
            <w:r>
              <w:rPr>
                <w:sz w:val="21"/>
              </w:rPr>
              <w:t>《贵州省森林条例》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vMerge w:val="continue"/>
            <w:tcBorders>
              <w:top w:val="nil"/>
              <w:left w:val="single" w:color="000000" w:sz="4" w:space="0"/>
              <w:bottom w:val="single" w:color="000000" w:sz="4" w:space="0"/>
            </w:tcBorders>
          </w:tcPr>
          <w:p>
            <w:pPr>
              <w:rPr>
                <w:sz w:val="2"/>
                <w:szCs w:val="2"/>
              </w:rPr>
            </w:pPr>
          </w:p>
        </w:tc>
        <w:tc>
          <w:tcPr>
            <w:tcW w:w="16110" w:type="dxa"/>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spacing w:before="11"/>
              <w:rPr>
                <w:b/>
                <w:sz w:val="15"/>
              </w:rPr>
            </w:pPr>
          </w:p>
          <w:p>
            <w:pPr>
              <w:pStyle w:val="12"/>
              <w:spacing w:line="208" w:lineRule="auto"/>
              <w:ind w:left="105" w:right="71"/>
              <w:rPr>
                <w:sz w:val="21"/>
              </w:rPr>
            </w:pPr>
            <w:r>
              <w:rPr>
                <w:b/>
                <w:spacing w:val="5"/>
                <w:sz w:val="21"/>
              </w:rPr>
              <w:t xml:space="preserve">第三条 </w:t>
            </w:r>
            <w:r>
              <w:rPr>
                <w:spacing w:val="-6"/>
                <w:sz w:val="21"/>
              </w:rPr>
              <w:t xml:space="preserve">森林保护目标：森林火灾受害率低于 </w:t>
            </w:r>
            <w:r>
              <w:rPr>
                <w:rFonts w:ascii="Calibri" w:hAnsi="Calibri" w:eastAsia="Calibri"/>
                <w:sz w:val="21"/>
              </w:rPr>
              <w:t>0.8‰</w:t>
            </w:r>
            <w:r>
              <w:rPr>
                <w:spacing w:val="-6"/>
                <w:sz w:val="21"/>
              </w:rPr>
              <w:t xml:space="preserve">；林业有害生物成灾率低于 </w:t>
            </w:r>
            <w:r>
              <w:rPr>
                <w:rFonts w:ascii="Calibri" w:hAnsi="Calibri" w:eastAsia="Calibri"/>
                <w:sz w:val="21"/>
              </w:rPr>
              <w:t>2‰</w:t>
            </w:r>
            <w:r>
              <w:rPr>
                <w:spacing w:val="-3"/>
                <w:sz w:val="21"/>
              </w:rPr>
              <w:t>；工程区域不发生大的偷砍盗伐森林、森林火灾、林业有害生物灾害和乱捕滥猎野生动物、乱采滥挖野生植物、非法侵占林地、毁林开荒、新造林地损毁等严重破坏森林资源的行为。</w:t>
            </w:r>
          </w:p>
        </w:tc>
        <w:tc>
          <w:tcPr>
            <w:tcW w:w="2693" w:type="dxa"/>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spacing w:before="161" w:line="266" w:lineRule="auto"/>
              <w:ind w:left="105" w:right="103"/>
              <w:rPr>
                <w:sz w:val="21"/>
              </w:rPr>
            </w:pPr>
            <w:r>
              <w:rPr>
                <w:sz w:val="21"/>
              </w:rPr>
              <w:t>《贵州省天然林资源保护工程森林管护实施细则》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4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718" w:type="dxa"/>
            <w:vMerge w:val="continue"/>
            <w:tcBorders>
              <w:top w:val="nil"/>
              <w:right w:val="single" w:color="000000" w:sz="4" w:space="0"/>
            </w:tcBorders>
          </w:tcPr>
          <w:p>
            <w:pPr>
              <w:rPr>
                <w:sz w:val="2"/>
                <w:szCs w:val="2"/>
              </w:rPr>
            </w:pPr>
          </w:p>
        </w:tc>
        <w:tc>
          <w:tcPr>
            <w:tcW w:w="1164" w:type="dxa"/>
            <w:tcBorders>
              <w:top w:val="single" w:color="000000" w:sz="4" w:space="0"/>
              <w:left w:val="single" w:color="000000" w:sz="4" w:space="0"/>
            </w:tcBorders>
          </w:tcPr>
          <w:p>
            <w:pPr>
              <w:pStyle w:val="12"/>
              <w:rPr>
                <w:b/>
                <w:sz w:val="20"/>
              </w:rPr>
            </w:pPr>
          </w:p>
          <w:p>
            <w:pPr>
              <w:pStyle w:val="12"/>
              <w:rPr>
                <w:b/>
                <w:sz w:val="20"/>
              </w:rPr>
            </w:pPr>
          </w:p>
          <w:p>
            <w:pPr>
              <w:pStyle w:val="12"/>
              <w:rPr>
                <w:b/>
                <w:sz w:val="20"/>
              </w:rPr>
            </w:pPr>
          </w:p>
          <w:p>
            <w:pPr>
              <w:pStyle w:val="12"/>
              <w:spacing w:before="157" w:line="208" w:lineRule="auto"/>
              <w:ind w:left="102" w:right="209"/>
              <w:jc w:val="both"/>
              <w:rPr>
                <w:sz w:val="21"/>
              </w:rPr>
            </w:pPr>
            <w:r>
              <w:rPr>
                <w:sz w:val="21"/>
              </w:rPr>
              <w:t>限制开发建设活动的要求</w:t>
            </w:r>
          </w:p>
        </w:tc>
        <w:tc>
          <w:tcPr>
            <w:tcW w:w="16110" w:type="dxa"/>
            <w:tcBorders>
              <w:top w:val="single" w:color="000000" w:sz="4" w:space="0"/>
            </w:tcBorders>
          </w:tcPr>
          <w:p>
            <w:pPr>
              <w:pStyle w:val="12"/>
              <w:rPr>
                <w:b/>
                <w:sz w:val="20"/>
              </w:rPr>
            </w:pPr>
          </w:p>
          <w:p>
            <w:pPr>
              <w:pStyle w:val="12"/>
              <w:rPr>
                <w:b/>
                <w:sz w:val="20"/>
              </w:rPr>
            </w:pPr>
          </w:p>
          <w:p>
            <w:pPr>
              <w:pStyle w:val="12"/>
              <w:rPr>
                <w:b/>
                <w:sz w:val="20"/>
              </w:rPr>
            </w:pPr>
          </w:p>
          <w:p>
            <w:pPr>
              <w:pStyle w:val="12"/>
              <w:spacing w:before="130" w:line="252" w:lineRule="exact"/>
              <w:ind w:left="105"/>
              <w:rPr>
                <w:b/>
                <w:sz w:val="21"/>
              </w:rPr>
            </w:pPr>
            <w:r>
              <w:rPr>
                <w:b/>
                <w:sz w:val="21"/>
              </w:rPr>
              <w:t>第十七条</w:t>
            </w:r>
          </w:p>
          <w:p>
            <w:pPr>
              <w:pStyle w:val="12"/>
              <w:spacing w:before="10" w:line="208" w:lineRule="auto"/>
              <w:ind w:left="105" w:right="98"/>
              <w:rPr>
                <w:sz w:val="21"/>
              </w:rPr>
            </w:pPr>
            <w:r>
              <w:rPr>
                <w:spacing w:val="-9"/>
                <w:sz w:val="21"/>
              </w:rPr>
              <w:t>二级管控区，在不改变林地用途和影响生态安全、生物多样性保护的前提下，可以通过流转天然林发展森林康养、林下种植、林下养殖、生态旅游等非木质资源消耗的经营活动。</w:t>
            </w:r>
          </w:p>
        </w:tc>
        <w:tc>
          <w:tcPr>
            <w:tcW w:w="2693" w:type="dxa"/>
            <w:tcBorders>
              <w:top w:val="single" w:color="000000" w:sz="4" w:space="0"/>
            </w:tcBorders>
          </w:tcPr>
          <w:p>
            <w:pPr>
              <w:pStyle w:val="12"/>
              <w:rPr>
                <w:b/>
                <w:sz w:val="20"/>
              </w:rPr>
            </w:pPr>
          </w:p>
          <w:p>
            <w:pPr>
              <w:pStyle w:val="12"/>
              <w:rPr>
                <w:b/>
                <w:sz w:val="20"/>
              </w:rPr>
            </w:pPr>
          </w:p>
          <w:p>
            <w:pPr>
              <w:pStyle w:val="12"/>
              <w:rPr>
                <w:b/>
                <w:sz w:val="20"/>
              </w:rPr>
            </w:pPr>
          </w:p>
          <w:p>
            <w:pPr>
              <w:pStyle w:val="12"/>
              <w:spacing w:before="2"/>
              <w:rPr>
                <w:b/>
                <w:sz w:val="18"/>
              </w:rPr>
            </w:pPr>
          </w:p>
          <w:p>
            <w:pPr>
              <w:pStyle w:val="12"/>
              <w:spacing w:line="266" w:lineRule="auto"/>
              <w:ind w:left="105" w:right="103"/>
              <w:rPr>
                <w:sz w:val="21"/>
              </w:rPr>
            </w:pPr>
            <w:r>
              <w:rPr>
                <w:sz w:val="21"/>
              </w:rPr>
              <w:t>《黔南布依族苗族自治州天然林保护条例》</w:t>
            </w:r>
          </w:p>
        </w:tc>
      </w:tr>
    </w:tbl>
    <w:p>
      <w:pPr>
        <w:spacing w:line="266" w:lineRule="auto"/>
        <w:rPr>
          <w:sz w:val="21"/>
        </w:rPr>
        <w:sectPr>
          <w:pgSz w:w="23760" w:h="16790" w:orient="landscape"/>
          <w:pgMar w:top="1080" w:right="660" w:bottom="1080" w:left="860" w:header="0" w:footer="894" w:gutter="0"/>
          <w:cols w:space="720" w:num="1"/>
        </w:sectPr>
      </w:pPr>
    </w:p>
    <w:tbl>
      <w:tblPr>
        <w:tblStyle w:val="3"/>
        <w:tblW w:w="21798"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704"/>
        <w:gridCol w:w="683"/>
        <w:gridCol w:w="1164"/>
        <w:gridCol w:w="16110"/>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48" w:type="dxa"/>
            <w:gridSpan w:val="2"/>
            <w:tcBorders>
              <w:left w:val="single" w:color="000000" w:sz="2" w:space="0"/>
              <w:right w:val="single" w:color="000000" w:sz="2" w:space="0"/>
            </w:tcBorders>
          </w:tcPr>
          <w:p>
            <w:pPr>
              <w:pStyle w:val="12"/>
              <w:spacing w:before="82"/>
              <w:ind w:left="345"/>
              <w:rPr>
                <w:b/>
                <w:sz w:val="21"/>
              </w:rPr>
            </w:pPr>
            <w:r>
              <w:rPr>
                <w:b/>
                <w:sz w:val="21"/>
              </w:rPr>
              <w:t>属性</w:t>
            </w:r>
          </w:p>
        </w:tc>
        <w:tc>
          <w:tcPr>
            <w:tcW w:w="1847" w:type="dxa"/>
            <w:gridSpan w:val="2"/>
            <w:tcBorders>
              <w:top w:val="single" w:color="000000" w:sz="2" w:space="0"/>
              <w:left w:val="single" w:color="000000" w:sz="2" w:space="0"/>
              <w:right w:val="single" w:color="000000" w:sz="2" w:space="0"/>
            </w:tcBorders>
          </w:tcPr>
          <w:p>
            <w:pPr>
              <w:pStyle w:val="12"/>
              <w:spacing w:before="89"/>
              <w:ind w:left="674" w:right="705"/>
              <w:jc w:val="center"/>
              <w:rPr>
                <w:b/>
                <w:sz w:val="21"/>
              </w:rPr>
            </w:pPr>
            <w:r>
              <w:rPr>
                <w:b/>
                <w:sz w:val="21"/>
              </w:rPr>
              <w:t>管控</w:t>
            </w:r>
          </w:p>
        </w:tc>
        <w:tc>
          <w:tcPr>
            <w:tcW w:w="16110" w:type="dxa"/>
            <w:tcBorders>
              <w:left w:val="single" w:color="000000" w:sz="2" w:space="0"/>
              <w:right w:val="single" w:color="000000" w:sz="2" w:space="0"/>
            </w:tcBorders>
          </w:tcPr>
          <w:p>
            <w:pPr>
              <w:pStyle w:val="12"/>
              <w:spacing w:before="89"/>
              <w:ind w:left="7401" w:right="7400"/>
              <w:jc w:val="center"/>
              <w:rPr>
                <w:b/>
                <w:sz w:val="21"/>
              </w:rPr>
            </w:pPr>
            <w:r>
              <w:rPr>
                <w:b/>
                <w:sz w:val="21"/>
              </w:rPr>
              <w:t>管控要求</w:t>
            </w:r>
          </w:p>
        </w:tc>
        <w:tc>
          <w:tcPr>
            <w:tcW w:w="2693" w:type="dxa"/>
            <w:tcBorders>
              <w:left w:val="single" w:color="000000" w:sz="2" w:space="0"/>
              <w:right w:val="single" w:color="000000" w:sz="2" w:space="0"/>
            </w:tcBorders>
          </w:tcPr>
          <w:p>
            <w:pPr>
              <w:pStyle w:val="12"/>
              <w:spacing w:before="89"/>
              <w:ind w:left="42" w:right="41"/>
              <w:jc w:val="center"/>
              <w:rPr>
                <w:b/>
                <w:sz w:val="21"/>
              </w:rPr>
            </w:pPr>
            <w:r>
              <w:rPr>
                <w:b/>
                <w:sz w:val="21"/>
              </w:rPr>
              <w:t>编制依据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444" w:type="dxa"/>
            <w:vMerge w:val="restart"/>
            <w:tcBorders>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26"/>
              </w:rPr>
            </w:pPr>
          </w:p>
          <w:p>
            <w:pPr>
              <w:pStyle w:val="12"/>
              <w:spacing w:before="1" w:line="249" w:lineRule="auto"/>
              <w:ind w:left="115" w:right="110"/>
              <w:jc w:val="both"/>
              <w:rPr>
                <w:sz w:val="21"/>
              </w:rPr>
            </w:pPr>
            <w:r>
              <w:rPr>
                <w:sz w:val="21"/>
              </w:rPr>
              <w:t>重要保护地</w:t>
            </w:r>
          </w:p>
        </w:tc>
        <w:tc>
          <w:tcPr>
            <w:tcW w:w="704" w:type="dxa"/>
            <w:vMerge w:val="restart"/>
            <w:tcBorders>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rPr>
            </w:pPr>
          </w:p>
          <w:p>
            <w:pPr>
              <w:pStyle w:val="12"/>
              <w:spacing w:before="1" w:line="249" w:lineRule="auto"/>
              <w:ind w:left="107" w:right="166"/>
              <w:jc w:val="both"/>
              <w:rPr>
                <w:sz w:val="21"/>
              </w:rPr>
            </w:pPr>
            <w:r>
              <w:rPr>
                <w:sz w:val="21"/>
              </w:rPr>
              <w:t>生态公益林</w:t>
            </w:r>
          </w:p>
        </w:tc>
        <w:tc>
          <w:tcPr>
            <w:tcW w:w="683" w:type="dxa"/>
            <w:vMerge w:val="restart"/>
            <w:tcBorders>
              <w:left w:val="single" w:color="000000" w:sz="2" w:space="0"/>
            </w:tcBorders>
          </w:tcPr>
          <w:p>
            <w:pPr>
              <w:pStyle w:val="12"/>
              <w:rPr>
                <w:b/>
                <w:sz w:val="20"/>
              </w:rPr>
            </w:pPr>
          </w:p>
          <w:p>
            <w:pPr>
              <w:pStyle w:val="12"/>
              <w:rPr>
                <w:b/>
                <w:sz w:val="20"/>
              </w:rPr>
            </w:pPr>
          </w:p>
          <w:p>
            <w:pPr>
              <w:pStyle w:val="12"/>
              <w:spacing w:before="2"/>
              <w:rPr>
                <w:b/>
                <w:sz w:val="28"/>
              </w:rPr>
            </w:pPr>
          </w:p>
          <w:p>
            <w:pPr>
              <w:pStyle w:val="12"/>
              <w:spacing w:line="211" w:lineRule="auto"/>
              <w:ind w:left="73" w:right="177"/>
              <w:jc w:val="both"/>
              <w:rPr>
                <w:sz w:val="21"/>
              </w:rPr>
            </w:pPr>
            <w:r>
              <w:rPr>
                <w:sz w:val="21"/>
              </w:rPr>
              <w:t>国家级管控要求</w:t>
            </w:r>
          </w:p>
        </w:tc>
        <w:tc>
          <w:tcPr>
            <w:tcW w:w="1164" w:type="dxa"/>
            <w:tcBorders>
              <w:right w:val="single" w:color="000000" w:sz="2" w:space="0"/>
            </w:tcBorders>
          </w:tcPr>
          <w:p>
            <w:pPr>
              <w:pStyle w:val="12"/>
              <w:spacing w:before="7" w:line="208" w:lineRule="auto"/>
              <w:ind w:left="103" w:right="208"/>
              <w:rPr>
                <w:sz w:val="21"/>
              </w:rPr>
            </w:pPr>
            <w:r>
              <w:rPr>
                <w:sz w:val="21"/>
              </w:rPr>
              <w:t>禁止开发建设活动</w:t>
            </w:r>
          </w:p>
          <w:p>
            <w:pPr>
              <w:pStyle w:val="12"/>
              <w:spacing w:line="213" w:lineRule="exact"/>
              <w:ind w:left="103"/>
              <w:rPr>
                <w:sz w:val="21"/>
              </w:rPr>
            </w:pPr>
            <w:r>
              <w:rPr>
                <w:sz w:val="21"/>
              </w:rPr>
              <w:t>的要求</w:t>
            </w:r>
          </w:p>
        </w:tc>
        <w:tc>
          <w:tcPr>
            <w:tcW w:w="16110" w:type="dxa"/>
            <w:tcBorders>
              <w:left w:val="single" w:color="000000" w:sz="2" w:space="0"/>
              <w:right w:val="single" w:color="000000" w:sz="2" w:space="0"/>
            </w:tcBorders>
          </w:tcPr>
          <w:p>
            <w:pPr>
              <w:pStyle w:val="12"/>
              <w:spacing w:before="10"/>
              <w:rPr>
                <w:b/>
                <w:sz w:val="16"/>
              </w:rPr>
            </w:pPr>
          </w:p>
          <w:p>
            <w:pPr>
              <w:pStyle w:val="12"/>
              <w:ind w:left="106"/>
              <w:rPr>
                <w:sz w:val="21"/>
              </w:rPr>
            </w:pPr>
            <w:r>
              <w:rPr>
                <w:sz w:val="21"/>
              </w:rPr>
              <w:t>一级国家级公益林严禁打枝、采脂、割漆、剥树皮、掘根等行为。</w:t>
            </w:r>
          </w:p>
        </w:tc>
        <w:tc>
          <w:tcPr>
            <w:tcW w:w="2693" w:type="dxa"/>
            <w:vMerge w:val="restart"/>
            <w:tcBorders>
              <w:left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5"/>
              <w:rPr>
                <w:b/>
                <w:sz w:val="15"/>
              </w:rPr>
            </w:pPr>
          </w:p>
          <w:p>
            <w:pPr>
              <w:pStyle w:val="12"/>
              <w:spacing w:before="1"/>
              <w:ind w:left="106"/>
              <w:rPr>
                <w:sz w:val="21"/>
              </w:rPr>
            </w:pPr>
            <w:r>
              <w:rPr>
                <w:sz w:val="21"/>
              </w:rPr>
              <w:t>《国家级公益林管理办法》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704" w:type="dxa"/>
            <w:vMerge w:val="continue"/>
            <w:tcBorders>
              <w:top w:val="nil"/>
              <w:left w:val="single" w:color="000000" w:sz="2" w:space="0"/>
              <w:bottom w:val="single" w:color="000000" w:sz="2" w:space="0"/>
              <w:right w:val="single" w:color="000000" w:sz="2" w:space="0"/>
            </w:tcBorders>
          </w:tcPr>
          <w:p>
            <w:pPr>
              <w:rPr>
                <w:sz w:val="2"/>
                <w:szCs w:val="2"/>
              </w:rPr>
            </w:pPr>
          </w:p>
        </w:tc>
        <w:tc>
          <w:tcPr>
            <w:tcW w:w="683" w:type="dxa"/>
            <w:vMerge w:val="continue"/>
            <w:tcBorders>
              <w:top w:val="nil"/>
              <w:left w:val="single" w:color="000000" w:sz="2" w:space="0"/>
            </w:tcBorders>
          </w:tcPr>
          <w:p>
            <w:pPr>
              <w:rPr>
                <w:sz w:val="2"/>
                <w:szCs w:val="2"/>
              </w:rPr>
            </w:pPr>
          </w:p>
        </w:tc>
        <w:tc>
          <w:tcPr>
            <w:tcW w:w="1164" w:type="dxa"/>
            <w:tcBorders>
              <w:right w:val="single" w:color="000000" w:sz="2" w:space="0"/>
            </w:tcBorders>
          </w:tcPr>
          <w:p>
            <w:pPr>
              <w:pStyle w:val="12"/>
              <w:rPr>
                <w:b/>
                <w:sz w:val="20"/>
              </w:rPr>
            </w:pPr>
          </w:p>
          <w:p>
            <w:pPr>
              <w:pStyle w:val="12"/>
              <w:spacing w:before="5"/>
              <w:rPr>
                <w:b/>
                <w:sz w:val="29"/>
              </w:rPr>
            </w:pPr>
          </w:p>
          <w:p>
            <w:pPr>
              <w:pStyle w:val="12"/>
              <w:spacing w:line="211" w:lineRule="auto"/>
              <w:ind w:left="103" w:right="208"/>
              <w:jc w:val="both"/>
              <w:rPr>
                <w:sz w:val="21"/>
              </w:rPr>
            </w:pPr>
            <w:r>
              <w:rPr>
                <w:sz w:val="21"/>
              </w:rPr>
              <w:t>限制开发建设活动的要求</w:t>
            </w:r>
          </w:p>
        </w:tc>
        <w:tc>
          <w:tcPr>
            <w:tcW w:w="16110" w:type="dxa"/>
            <w:tcBorders>
              <w:left w:val="single" w:color="000000" w:sz="2" w:space="0"/>
              <w:right w:val="single" w:color="000000" w:sz="2" w:space="0"/>
            </w:tcBorders>
          </w:tcPr>
          <w:p>
            <w:pPr>
              <w:pStyle w:val="12"/>
              <w:spacing w:before="18" w:line="253" w:lineRule="exact"/>
              <w:ind w:left="106"/>
              <w:rPr>
                <w:sz w:val="21"/>
              </w:rPr>
            </w:pPr>
            <w:r>
              <w:rPr>
                <w:b/>
                <w:sz w:val="21"/>
              </w:rPr>
              <w:t xml:space="preserve">第十二条 </w:t>
            </w:r>
            <w:r>
              <w:rPr>
                <w:sz w:val="21"/>
              </w:rPr>
              <w:t>一级国家级公益林原则上不得开展生产经营活动，严禁打枝、采脂、割漆、剥树皮、掘根等行为。</w:t>
            </w:r>
          </w:p>
          <w:p>
            <w:pPr>
              <w:pStyle w:val="12"/>
              <w:spacing w:before="11" w:line="208" w:lineRule="auto"/>
              <w:ind w:left="106" w:right="97" w:firstLine="420"/>
              <w:rPr>
                <w:sz w:val="21"/>
              </w:rPr>
            </w:pPr>
            <w:r>
              <w:rPr>
                <w:spacing w:val="-8"/>
                <w:sz w:val="21"/>
              </w:rPr>
              <w:t>国有一级国家级公益林，不得开展任何形式的生产经营活动。因教学科研等确需采伐林木，或者发生较为严重森林火灾、病虫害及其他自然灾害等特殊情况确需对受害林</w:t>
            </w:r>
            <w:r>
              <w:rPr>
                <w:spacing w:val="-5"/>
                <w:sz w:val="21"/>
              </w:rPr>
              <w:t>木进行清理的，应当组织森林经理学、森林保护学、生态学等领域林业专家进行生态影响评价，经县级以上林业主管部门依法审批后实施。</w:t>
            </w:r>
          </w:p>
          <w:p>
            <w:pPr>
              <w:pStyle w:val="12"/>
              <w:spacing w:line="211" w:lineRule="auto"/>
              <w:ind w:left="106" w:right="96" w:firstLine="420"/>
              <w:jc w:val="both"/>
              <w:rPr>
                <w:sz w:val="21"/>
              </w:rPr>
            </w:pPr>
            <w:r>
              <w:rPr>
                <w:spacing w:val="-8"/>
                <w:sz w:val="21"/>
              </w:rPr>
              <w:t>集体和个人所有的一级国家级公益林，以严格保护为原则。根据其生态状况需要开展抚育和更新采伐等经营活动，或适宜开展非木质资源培育利用的，应当符合《生态公</w:t>
            </w:r>
            <w:r>
              <w:rPr>
                <w:spacing w:val="-5"/>
                <w:sz w:val="21"/>
              </w:rPr>
              <w:t>益林建设导则</w:t>
            </w:r>
            <w:r>
              <w:rPr>
                <w:spacing w:val="-145"/>
                <w:sz w:val="21"/>
              </w:rPr>
              <w:t>》</w:t>
            </w:r>
            <w:r>
              <w:rPr>
                <w:spacing w:val="-3"/>
                <w:sz w:val="21"/>
              </w:rPr>
              <w:t>（</w:t>
            </w:r>
            <w:r>
              <w:rPr>
                <w:rFonts w:ascii="Calibri" w:eastAsia="Calibri"/>
                <w:sz w:val="21"/>
              </w:rPr>
              <w:t>GB</w:t>
            </w:r>
            <w:r>
              <w:rPr>
                <w:rFonts w:ascii="Calibri" w:eastAsia="Calibri"/>
                <w:spacing w:val="-3"/>
                <w:sz w:val="21"/>
              </w:rPr>
              <w:t>/</w:t>
            </w:r>
            <w:r>
              <w:rPr>
                <w:rFonts w:ascii="Calibri" w:eastAsia="Calibri"/>
                <w:sz w:val="21"/>
              </w:rPr>
              <w:t>T 1</w:t>
            </w:r>
            <w:r>
              <w:rPr>
                <w:rFonts w:ascii="Calibri" w:eastAsia="Calibri"/>
                <w:spacing w:val="-2"/>
                <w:sz w:val="21"/>
              </w:rPr>
              <w:t>83</w:t>
            </w:r>
            <w:r>
              <w:rPr>
                <w:rFonts w:ascii="Calibri" w:eastAsia="Calibri"/>
                <w:spacing w:val="-7"/>
                <w:sz w:val="21"/>
              </w:rPr>
              <w:t>3</w:t>
            </w:r>
            <w:r>
              <w:rPr>
                <w:rFonts w:ascii="Calibri" w:eastAsia="Calibri"/>
                <w:sz w:val="21"/>
              </w:rPr>
              <w:t>7</w:t>
            </w:r>
            <w:r>
              <w:rPr>
                <w:rFonts w:ascii="Calibri" w:eastAsia="Calibri"/>
                <w:spacing w:val="-1"/>
                <w:sz w:val="21"/>
              </w:rPr>
              <w:t>.</w:t>
            </w:r>
            <w:r>
              <w:rPr>
                <w:rFonts w:ascii="Calibri" w:eastAsia="Calibri"/>
                <w:spacing w:val="1"/>
                <w:sz w:val="21"/>
              </w:rPr>
              <w:t>1</w:t>
            </w:r>
            <w:r>
              <w:rPr>
                <w:spacing w:val="-108"/>
                <w:sz w:val="21"/>
              </w:rPr>
              <w:t>）</w:t>
            </w:r>
            <w:r>
              <w:rPr>
                <w:spacing w:val="-16"/>
                <w:sz w:val="21"/>
              </w:rPr>
              <w:t>、《生态公益林建设技术规程</w:t>
            </w:r>
            <w:r>
              <w:rPr>
                <w:spacing w:val="-142"/>
                <w:sz w:val="21"/>
              </w:rPr>
              <w:t>》</w:t>
            </w:r>
            <w:r>
              <w:rPr>
                <w:spacing w:val="-3"/>
                <w:sz w:val="21"/>
              </w:rPr>
              <w:t>（</w:t>
            </w:r>
            <w:r>
              <w:rPr>
                <w:rFonts w:ascii="Calibri" w:eastAsia="Calibri"/>
                <w:spacing w:val="-2"/>
                <w:sz w:val="21"/>
              </w:rPr>
              <w:t>G</w:t>
            </w:r>
            <w:r>
              <w:rPr>
                <w:rFonts w:ascii="Calibri" w:eastAsia="Calibri"/>
                <w:sz w:val="21"/>
              </w:rPr>
              <w:t xml:space="preserve">B/T </w:t>
            </w:r>
            <w:r>
              <w:rPr>
                <w:rFonts w:ascii="Calibri" w:eastAsia="Calibri"/>
                <w:spacing w:val="-2"/>
                <w:sz w:val="21"/>
              </w:rPr>
              <w:t>1</w:t>
            </w:r>
            <w:r>
              <w:rPr>
                <w:rFonts w:ascii="Calibri" w:eastAsia="Calibri"/>
                <w:sz w:val="21"/>
              </w:rPr>
              <w:t>8</w:t>
            </w:r>
            <w:r>
              <w:rPr>
                <w:rFonts w:ascii="Calibri" w:eastAsia="Calibri"/>
                <w:spacing w:val="-2"/>
                <w:sz w:val="21"/>
              </w:rPr>
              <w:t>3</w:t>
            </w:r>
            <w:r>
              <w:rPr>
                <w:rFonts w:ascii="Calibri" w:eastAsia="Calibri"/>
                <w:spacing w:val="-7"/>
                <w:sz w:val="21"/>
              </w:rPr>
              <w:t>3</w:t>
            </w:r>
            <w:r>
              <w:rPr>
                <w:rFonts w:ascii="Calibri" w:eastAsia="Calibri"/>
                <w:sz w:val="21"/>
              </w:rPr>
              <w:t>7</w:t>
            </w:r>
            <w:r>
              <w:rPr>
                <w:rFonts w:ascii="Calibri" w:eastAsia="Calibri"/>
                <w:spacing w:val="-1"/>
                <w:sz w:val="21"/>
              </w:rPr>
              <w:t>.</w:t>
            </w:r>
            <w:r>
              <w:rPr>
                <w:rFonts w:ascii="Calibri" w:eastAsia="Calibri"/>
                <w:spacing w:val="1"/>
                <w:sz w:val="21"/>
              </w:rPr>
              <w:t>3</w:t>
            </w:r>
            <w:r>
              <w:rPr>
                <w:spacing w:val="-108"/>
                <w:sz w:val="21"/>
              </w:rPr>
              <w:t>）</w:t>
            </w:r>
            <w:r>
              <w:rPr>
                <w:spacing w:val="-18"/>
                <w:sz w:val="21"/>
              </w:rPr>
              <w:t>、《森林采伐作业规程</w:t>
            </w:r>
            <w:r>
              <w:rPr>
                <w:spacing w:val="-145"/>
                <w:sz w:val="21"/>
              </w:rPr>
              <w:t>》</w:t>
            </w:r>
            <w:r>
              <w:rPr>
                <w:sz w:val="21"/>
              </w:rPr>
              <w:t>（</w:t>
            </w:r>
            <w:r>
              <w:rPr>
                <w:rFonts w:ascii="Calibri" w:eastAsia="Calibri"/>
                <w:spacing w:val="-20"/>
                <w:sz w:val="21"/>
              </w:rPr>
              <w:t>L</w:t>
            </w:r>
            <w:r>
              <w:rPr>
                <w:rFonts w:ascii="Calibri" w:eastAsia="Calibri"/>
                <w:spacing w:val="-12"/>
                <w:sz w:val="21"/>
              </w:rPr>
              <w:t>Y</w:t>
            </w:r>
            <w:r>
              <w:rPr>
                <w:rFonts w:ascii="Calibri" w:eastAsia="Calibri"/>
                <w:spacing w:val="-3"/>
                <w:sz w:val="21"/>
              </w:rPr>
              <w:t>/</w:t>
            </w:r>
            <w:r>
              <w:rPr>
                <w:rFonts w:ascii="Calibri" w:eastAsia="Calibri"/>
                <w:sz w:val="21"/>
              </w:rPr>
              <w:t xml:space="preserve">T </w:t>
            </w:r>
            <w:r>
              <w:rPr>
                <w:rFonts w:ascii="Calibri" w:eastAsia="Calibri"/>
                <w:spacing w:val="-1"/>
                <w:sz w:val="21"/>
              </w:rPr>
              <w:t>1</w:t>
            </w:r>
            <w:r>
              <w:rPr>
                <w:rFonts w:ascii="Calibri" w:eastAsia="Calibri"/>
                <w:spacing w:val="-2"/>
                <w:sz w:val="21"/>
              </w:rPr>
              <w:t>6</w:t>
            </w:r>
            <w:r>
              <w:rPr>
                <w:rFonts w:ascii="Calibri" w:eastAsia="Calibri"/>
                <w:sz w:val="21"/>
              </w:rPr>
              <w:t>4</w:t>
            </w:r>
            <w:r>
              <w:rPr>
                <w:rFonts w:ascii="Calibri" w:eastAsia="Calibri"/>
                <w:spacing w:val="1"/>
                <w:sz w:val="21"/>
              </w:rPr>
              <w:t>6</w:t>
            </w:r>
            <w:r>
              <w:rPr>
                <w:spacing w:val="-108"/>
                <w:sz w:val="21"/>
              </w:rPr>
              <w:t>）</w:t>
            </w:r>
            <w:r>
              <w:rPr>
                <w:spacing w:val="-17"/>
                <w:sz w:val="21"/>
              </w:rPr>
              <w:t>、《低效林改造技术规程</w:t>
            </w:r>
            <w:r>
              <w:rPr>
                <w:spacing w:val="-145"/>
                <w:sz w:val="21"/>
              </w:rPr>
              <w:t>》</w:t>
            </w:r>
            <w:r>
              <w:rPr>
                <w:spacing w:val="-1"/>
                <w:sz w:val="21"/>
              </w:rPr>
              <w:t>（</w:t>
            </w:r>
            <w:r>
              <w:rPr>
                <w:rFonts w:ascii="Calibri" w:eastAsia="Calibri"/>
                <w:spacing w:val="-20"/>
                <w:sz w:val="21"/>
              </w:rPr>
              <w:t>L</w:t>
            </w:r>
            <w:r>
              <w:rPr>
                <w:rFonts w:ascii="Calibri" w:eastAsia="Calibri"/>
                <w:spacing w:val="-12"/>
                <w:sz w:val="21"/>
              </w:rPr>
              <w:t>Y</w:t>
            </w:r>
            <w:r>
              <w:rPr>
                <w:rFonts w:ascii="Calibri" w:eastAsia="Calibri"/>
                <w:spacing w:val="-3"/>
                <w:sz w:val="21"/>
              </w:rPr>
              <w:t>/</w:t>
            </w:r>
            <w:r>
              <w:rPr>
                <w:rFonts w:ascii="Calibri" w:eastAsia="Calibri"/>
                <w:sz w:val="21"/>
              </w:rPr>
              <w:t xml:space="preserve">T </w:t>
            </w:r>
            <w:r>
              <w:rPr>
                <w:rFonts w:ascii="Calibri" w:eastAsia="Calibri"/>
                <w:spacing w:val="-1"/>
                <w:sz w:val="21"/>
              </w:rPr>
              <w:t>1</w:t>
            </w:r>
            <w:r>
              <w:rPr>
                <w:rFonts w:ascii="Calibri" w:eastAsia="Calibri"/>
                <w:spacing w:val="-2"/>
                <w:sz w:val="21"/>
              </w:rPr>
              <w:t>6</w:t>
            </w:r>
            <w:r>
              <w:rPr>
                <w:rFonts w:ascii="Calibri" w:eastAsia="Calibri"/>
                <w:sz w:val="21"/>
              </w:rPr>
              <w:t>9</w:t>
            </w:r>
            <w:r>
              <w:rPr>
                <w:rFonts w:ascii="Calibri" w:eastAsia="Calibri"/>
                <w:spacing w:val="-1"/>
                <w:sz w:val="21"/>
              </w:rPr>
              <w:t>0</w:t>
            </w:r>
            <w:r>
              <w:rPr>
                <w:spacing w:val="-39"/>
                <w:sz w:val="21"/>
              </w:rPr>
              <w:t>）</w:t>
            </w:r>
            <w:r>
              <w:rPr>
                <w:spacing w:val="-8"/>
                <w:sz w:val="21"/>
              </w:rPr>
              <w:t>和《森林抚育规程</w:t>
            </w:r>
            <w:r>
              <w:rPr>
                <w:spacing w:val="-142"/>
                <w:sz w:val="21"/>
              </w:rPr>
              <w:t>》</w:t>
            </w:r>
            <w:r>
              <w:rPr>
                <w:spacing w:val="-3"/>
                <w:sz w:val="21"/>
              </w:rPr>
              <w:t>（</w:t>
            </w:r>
            <w:r>
              <w:rPr>
                <w:rFonts w:ascii="Calibri" w:eastAsia="Calibri"/>
                <w:spacing w:val="-2"/>
                <w:sz w:val="21"/>
              </w:rPr>
              <w:t>G</w:t>
            </w:r>
            <w:r>
              <w:rPr>
                <w:rFonts w:ascii="Calibri" w:eastAsia="Calibri"/>
                <w:sz w:val="21"/>
              </w:rPr>
              <w:t xml:space="preserve">B/T </w:t>
            </w:r>
            <w:r>
              <w:rPr>
                <w:rFonts w:ascii="Calibri" w:eastAsia="Calibri"/>
                <w:spacing w:val="-3"/>
                <w:sz w:val="21"/>
              </w:rPr>
              <w:t>15781</w:t>
            </w:r>
            <w:r>
              <w:rPr>
                <w:spacing w:val="-3"/>
                <w:sz w:val="21"/>
              </w:rPr>
              <w:t>）等相关技术规程的规定。</w:t>
            </w:r>
          </w:p>
          <w:p>
            <w:pPr>
              <w:pStyle w:val="12"/>
              <w:spacing w:line="211" w:lineRule="auto"/>
              <w:ind w:left="106" w:right="96"/>
              <w:jc w:val="both"/>
              <w:rPr>
                <w:sz w:val="21"/>
              </w:rPr>
            </w:pPr>
            <w:r>
              <w:rPr>
                <w:b/>
                <w:spacing w:val="2"/>
                <w:sz w:val="21"/>
              </w:rPr>
              <w:t xml:space="preserve">第十三条 </w:t>
            </w:r>
            <w:r>
              <w:rPr>
                <w:spacing w:val="-5"/>
                <w:sz w:val="21"/>
              </w:rPr>
              <w:t>二级国家级公益林在不影响整体森林生态系统功能发挥的前提下，可以按照第十二条第三款相关技术规程的规定开展抚育和更新性质的采伐。在不破坏森林植被的</w:t>
            </w:r>
            <w:r>
              <w:rPr>
                <w:spacing w:val="-4"/>
                <w:sz w:val="21"/>
              </w:rPr>
              <w:t>前提下，可以合理利用其林地资源，适度开展林下种植养殖和森林游憩等非木质资源开发与利用，科学发展林下经济。</w:t>
            </w:r>
          </w:p>
        </w:tc>
        <w:tc>
          <w:tcPr>
            <w:tcW w:w="2693" w:type="dxa"/>
            <w:vMerge w:val="continue"/>
            <w:tcBorders>
              <w:top w:val="nil"/>
              <w:left w:val="single" w:color="000000" w:sz="2" w:space="0"/>
              <w:righ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704" w:type="dxa"/>
            <w:vMerge w:val="continue"/>
            <w:tcBorders>
              <w:top w:val="nil"/>
              <w:left w:val="single" w:color="000000" w:sz="2" w:space="0"/>
              <w:bottom w:val="single" w:color="000000" w:sz="2" w:space="0"/>
              <w:right w:val="single" w:color="000000" w:sz="2" w:space="0"/>
            </w:tcBorders>
          </w:tcPr>
          <w:p>
            <w:pPr>
              <w:rPr>
                <w:sz w:val="2"/>
                <w:szCs w:val="2"/>
              </w:rPr>
            </w:pPr>
          </w:p>
        </w:tc>
        <w:tc>
          <w:tcPr>
            <w:tcW w:w="683" w:type="dxa"/>
            <w:vMerge w:val="restart"/>
            <w:tcBorders>
              <w:left w:val="single" w:color="000000" w:sz="2" w:space="0"/>
              <w:bottom w:val="single" w:color="000000" w:sz="2" w:space="0"/>
            </w:tcBorders>
          </w:tcPr>
          <w:p>
            <w:pPr>
              <w:pStyle w:val="12"/>
              <w:rPr>
                <w:b/>
                <w:sz w:val="20"/>
              </w:rPr>
            </w:pPr>
          </w:p>
          <w:p>
            <w:pPr>
              <w:pStyle w:val="12"/>
              <w:rPr>
                <w:b/>
                <w:sz w:val="20"/>
              </w:rPr>
            </w:pPr>
          </w:p>
          <w:p>
            <w:pPr>
              <w:pStyle w:val="12"/>
              <w:rPr>
                <w:b/>
                <w:sz w:val="20"/>
              </w:rPr>
            </w:pPr>
          </w:p>
          <w:p>
            <w:pPr>
              <w:pStyle w:val="12"/>
              <w:spacing w:before="167" w:line="211" w:lineRule="auto"/>
              <w:ind w:left="73" w:right="177"/>
              <w:jc w:val="both"/>
              <w:rPr>
                <w:sz w:val="21"/>
              </w:rPr>
            </w:pPr>
            <w:r>
              <w:rPr>
                <w:sz w:val="21"/>
              </w:rPr>
              <w:t>地方级管控要求</w:t>
            </w:r>
          </w:p>
        </w:tc>
        <w:tc>
          <w:tcPr>
            <w:tcW w:w="1164" w:type="dxa"/>
            <w:tcBorders>
              <w:bottom w:val="single" w:color="000000" w:sz="2" w:space="0"/>
              <w:right w:val="single" w:color="000000" w:sz="2" w:space="0"/>
            </w:tcBorders>
          </w:tcPr>
          <w:p>
            <w:pPr>
              <w:pStyle w:val="12"/>
              <w:spacing w:before="124" w:line="211" w:lineRule="auto"/>
              <w:ind w:left="103" w:right="208"/>
              <w:jc w:val="both"/>
              <w:rPr>
                <w:sz w:val="21"/>
              </w:rPr>
            </w:pPr>
            <w:r>
              <w:rPr>
                <w:sz w:val="21"/>
              </w:rPr>
              <w:t>禁止开发建设活动的要求</w:t>
            </w:r>
          </w:p>
        </w:tc>
        <w:tc>
          <w:tcPr>
            <w:tcW w:w="16110" w:type="dxa"/>
            <w:tcBorders>
              <w:left w:val="single" w:color="000000" w:sz="2" w:space="0"/>
              <w:right w:val="single" w:color="000000" w:sz="2" w:space="0"/>
            </w:tcBorders>
          </w:tcPr>
          <w:p>
            <w:pPr>
              <w:pStyle w:val="12"/>
              <w:spacing w:before="65" w:line="242" w:lineRule="auto"/>
              <w:ind w:left="106" w:right="3594"/>
              <w:rPr>
                <w:sz w:val="21"/>
              </w:rPr>
            </w:pPr>
            <w:r>
              <w:rPr>
                <w:b/>
                <w:sz w:val="21"/>
              </w:rPr>
              <w:t>第十七条</w:t>
            </w:r>
            <w:r>
              <w:rPr>
                <w:spacing w:val="-4"/>
                <w:sz w:val="21"/>
              </w:rPr>
              <w:t>禁止在国家级公益林地开垦、采石、采沙、取土，严格控制勘查、开采矿藏和工程建设征收、征用、占用国家级公益林林地。</w:t>
            </w:r>
            <w:r>
              <w:rPr>
                <w:b/>
                <w:spacing w:val="-4"/>
                <w:sz w:val="21"/>
              </w:rPr>
              <w:t>第十九条</w:t>
            </w:r>
            <w:r>
              <w:rPr>
                <w:spacing w:val="-3"/>
                <w:sz w:val="21"/>
              </w:rPr>
              <w:t>禁止在公益林内非法采脂、砍柴、放牧、修建坟墓、排放污染物和堆放固体废弃物等破坏活动。</w:t>
            </w:r>
          </w:p>
          <w:p>
            <w:pPr>
              <w:pStyle w:val="12"/>
              <w:spacing w:before="2"/>
              <w:ind w:left="106"/>
              <w:rPr>
                <w:sz w:val="21"/>
              </w:rPr>
            </w:pPr>
            <w:r>
              <w:rPr>
                <w:b/>
                <w:sz w:val="21"/>
              </w:rPr>
              <w:t>第二十三条</w:t>
            </w:r>
            <w:r>
              <w:rPr>
                <w:sz w:val="21"/>
              </w:rPr>
              <w:t>禁止在公益林内非法进行活立木移植、挖掘、开垦、采石、采集珍稀植物等破坏森林植被和森林生态功能的活动。</w:t>
            </w:r>
          </w:p>
        </w:tc>
        <w:tc>
          <w:tcPr>
            <w:tcW w:w="2693" w:type="dxa"/>
            <w:vMerge w:val="restart"/>
            <w:tcBorders>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spacing w:before="6"/>
              <w:rPr>
                <w:b/>
                <w:sz w:val="28"/>
              </w:rPr>
            </w:pPr>
          </w:p>
          <w:p>
            <w:pPr>
              <w:pStyle w:val="12"/>
              <w:spacing w:before="1" w:line="266" w:lineRule="auto"/>
              <w:ind w:left="106" w:right="102"/>
              <w:rPr>
                <w:sz w:val="21"/>
              </w:rPr>
            </w:pPr>
            <w:r>
              <w:rPr>
                <w:sz w:val="21"/>
              </w:rPr>
              <w:t>《贵州省公益林保护和经营管理办法》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704" w:type="dxa"/>
            <w:vMerge w:val="continue"/>
            <w:tcBorders>
              <w:top w:val="nil"/>
              <w:left w:val="single" w:color="000000" w:sz="2" w:space="0"/>
              <w:bottom w:val="single" w:color="000000" w:sz="2" w:space="0"/>
              <w:right w:val="single" w:color="000000" w:sz="2" w:space="0"/>
            </w:tcBorders>
          </w:tcPr>
          <w:p>
            <w:pPr>
              <w:rPr>
                <w:sz w:val="2"/>
                <w:szCs w:val="2"/>
              </w:rPr>
            </w:pPr>
          </w:p>
        </w:tc>
        <w:tc>
          <w:tcPr>
            <w:tcW w:w="683" w:type="dxa"/>
            <w:vMerge w:val="continue"/>
            <w:tcBorders>
              <w:top w:val="nil"/>
              <w:left w:val="single" w:color="000000" w:sz="2" w:space="0"/>
              <w:bottom w:val="single" w:color="000000" w:sz="2" w:space="0"/>
            </w:tcBorders>
          </w:tcPr>
          <w:p>
            <w:pPr>
              <w:rPr>
                <w:sz w:val="2"/>
                <w:szCs w:val="2"/>
              </w:rPr>
            </w:pPr>
          </w:p>
        </w:tc>
        <w:tc>
          <w:tcPr>
            <w:tcW w:w="1164" w:type="dxa"/>
            <w:tcBorders>
              <w:top w:val="single" w:color="000000" w:sz="2" w:space="0"/>
            </w:tcBorders>
          </w:tcPr>
          <w:p>
            <w:pPr>
              <w:pStyle w:val="12"/>
              <w:rPr>
                <w:b/>
                <w:sz w:val="20"/>
              </w:rPr>
            </w:pPr>
          </w:p>
          <w:p>
            <w:pPr>
              <w:pStyle w:val="12"/>
              <w:spacing w:before="12"/>
              <w:rPr>
                <w:b/>
                <w:sz w:val="24"/>
              </w:rPr>
            </w:pPr>
          </w:p>
          <w:p>
            <w:pPr>
              <w:pStyle w:val="12"/>
              <w:spacing w:line="211" w:lineRule="auto"/>
              <w:ind w:left="103" w:right="205"/>
              <w:jc w:val="both"/>
              <w:rPr>
                <w:sz w:val="21"/>
              </w:rPr>
            </w:pPr>
            <w:r>
              <w:rPr>
                <w:sz w:val="21"/>
              </w:rPr>
              <w:t>限制开发建设活动的要求</w:t>
            </w:r>
          </w:p>
        </w:tc>
        <w:tc>
          <w:tcPr>
            <w:tcW w:w="16110" w:type="dxa"/>
            <w:tcBorders>
              <w:right w:val="single" w:color="000000" w:sz="2" w:space="0"/>
            </w:tcBorders>
          </w:tcPr>
          <w:p>
            <w:pPr>
              <w:pStyle w:val="12"/>
              <w:spacing w:line="238" w:lineRule="exact"/>
              <w:ind w:left="103"/>
              <w:rPr>
                <w:sz w:val="21"/>
              </w:rPr>
            </w:pPr>
            <w:r>
              <w:rPr>
                <w:b/>
                <w:sz w:val="21"/>
              </w:rPr>
              <w:t>第二十三条</w:t>
            </w:r>
            <w:r>
              <w:rPr>
                <w:sz w:val="21"/>
              </w:rPr>
              <w:t>因科学研究等非商品性经营需移植、采集公益林内植物的，按相关规定申报。</w:t>
            </w:r>
          </w:p>
          <w:p>
            <w:pPr>
              <w:pStyle w:val="12"/>
              <w:spacing w:before="11" w:line="208" w:lineRule="auto"/>
              <w:ind w:left="103" w:right="-15"/>
              <w:rPr>
                <w:sz w:val="21"/>
              </w:rPr>
            </w:pPr>
            <w:r>
              <w:rPr>
                <w:b/>
                <w:sz w:val="21"/>
              </w:rPr>
              <w:t>第十八条</w:t>
            </w:r>
            <w:r>
              <w:rPr>
                <w:spacing w:val="-10"/>
                <w:sz w:val="21"/>
              </w:rPr>
              <w:t xml:space="preserve">加强地方公益林地保护，除基础设施建设与公益性事业外，严格控制采石、采砂、取土、勘查、开采矿藏和工程建设征收、征用、占用地方公益林林地。除国务院批 </w:t>
            </w:r>
            <w:r>
              <w:rPr>
                <w:spacing w:val="-17"/>
                <w:sz w:val="21"/>
              </w:rPr>
              <w:t>准或同意的建设项目，国家和省级重点建设项目，国务院有关部门、国家计划单列企业、省人民政府批准的国防、交通、能源、水利、农业、林业、矿山、科技、教育、通讯、</w:t>
            </w:r>
            <w:r>
              <w:rPr>
                <w:spacing w:val="-7"/>
                <w:sz w:val="21"/>
              </w:rPr>
              <w:t>广播电视、公检法、城镇等基础设施建设项目外，不得征收、征用、占用一级国家级公益林地。</w:t>
            </w:r>
          </w:p>
          <w:p>
            <w:pPr>
              <w:pStyle w:val="12"/>
              <w:spacing w:before="6" w:line="208" w:lineRule="auto"/>
              <w:ind w:left="103" w:right="-15"/>
              <w:rPr>
                <w:sz w:val="21"/>
              </w:rPr>
            </w:pPr>
            <w:r>
              <w:rPr>
                <w:b/>
                <w:sz w:val="21"/>
              </w:rPr>
              <w:t>第二十四条</w:t>
            </w:r>
            <w:r>
              <w:rPr>
                <w:spacing w:val="-6"/>
                <w:sz w:val="21"/>
              </w:rPr>
              <w:t>公益林的生产经营活动严格按照《生态公益林建设技术规程</w:t>
            </w:r>
            <w:r>
              <w:rPr>
                <w:spacing w:val="-140"/>
                <w:sz w:val="21"/>
              </w:rPr>
              <w:t>》</w:t>
            </w:r>
            <w:r>
              <w:rPr>
                <w:spacing w:val="-3"/>
                <w:sz w:val="21"/>
              </w:rPr>
              <w:t>（</w:t>
            </w:r>
            <w:r>
              <w:rPr>
                <w:rFonts w:ascii="Calibri" w:eastAsia="Calibri"/>
                <w:sz w:val="21"/>
              </w:rPr>
              <w:t>G</w:t>
            </w:r>
            <w:r>
              <w:rPr>
                <w:rFonts w:ascii="Calibri" w:eastAsia="Calibri"/>
                <w:spacing w:val="-3"/>
                <w:sz w:val="21"/>
              </w:rPr>
              <w:t>B</w:t>
            </w:r>
            <w:r>
              <w:rPr>
                <w:rFonts w:ascii="Calibri" w:eastAsia="Calibri"/>
                <w:spacing w:val="-1"/>
                <w:sz w:val="21"/>
              </w:rPr>
              <w:t>/T</w:t>
            </w:r>
            <w:r>
              <w:rPr>
                <w:rFonts w:ascii="Calibri" w:eastAsia="Calibri"/>
                <w:spacing w:val="-2"/>
                <w:sz w:val="21"/>
              </w:rPr>
              <w:t>18</w:t>
            </w:r>
            <w:r>
              <w:rPr>
                <w:rFonts w:ascii="Calibri" w:eastAsia="Calibri"/>
                <w:sz w:val="21"/>
              </w:rPr>
              <w:t>3</w:t>
            </w:r>
            <w:r>
              <w:rPr>
                <w:rFonts w:ascii="Calibri" w:eastAsia="Calibri"/>
                <w:spacing w:val="-7"/>
                <w:sz w:val="21"/>
              </w:rPr>
              <w:t>3</w:t>
            </w:r>
            <w:r>
              <w:rPr>
                <w:rFonts w:ascii="Calibri" w:eastAsia="Calibri"/>
                <w:sz w:val="21"/>
              </w:rPr>
              <w:t>7</w:t>
            </w:r>
            <w:r>
              <w:rPr>
                <w:rFonts w:ascii="Calibri" w:eastAsia="Calibri"/>
                <w:spacing w:val="-1"/>
                <w:sz w:val="21"/>
              </w:rPr>
              <w:t>.3</w:t>
            </w:r>
            <w:r>
              <w:rPr>
                <w:rFonts w:ascii="Calibri" w:eastAsia="Calibri"/>
                <w:spacing w:val="-3"/>
                <w:sz w:val="21"/>
              </w:rPr>
              <w:t>-</w:t>
            </w:r>
            <w:r>
              <w:rPr>
                <w:rFonts w:ascii="Calibri" w:eastAsia="Calibri"/>
                <w:sz w:val="21"/>
              </w:rPr>
              <w:t>2</w:t>
            </w:r>
            <w:r>
              <w:rPr>
                <w:rFonts w:ascii="Calibri" w:eastAsia="Calibri"/>
                <w:spacing w:val="-2"/>
                <w:sz w:val="21"/>
              </w:rPr>
              <w:t>00</w:t>
            </w:r>
            <w:r>
              <w:rPr>
                <w:rFonts w:ascii="Calibri" w:eastAsia="Calibri"/>
                <w:spacing w:val="1"/>
                <w:sz w:val="21"/>
              </w:rPr>
              <w:t>1</w:t>
            </w:r>
            <w:r>
              <w:rPr>
                <w:spacing w:val="-106"/>
                <w:sz w:val="21"/>
              </w:rPr>
              <w:t>）</w:t>
            </w:r>
            <w:r>
              <w:rPr>
                <w:spacing w:val="-18"/>
                <w:sz w:val="21"/>
              </w:rPr>
              <w:t>、《森林采伐作业规程</w:t>
            </w:r>
            <w:r>
              <w:rPr>
                <w:spacing w:val="-140"/>
                <w:sz w:val="21"/>
              </w:rPr>
              <w:t>》</w:t>
            </w:r>
            <w:r>
              <w:rPr>
                <w:spacing w:val="-3"/>
                <w:sz w:val="21"/>
              </w:rPr>
              <w:t>（</w:t>
            </w:r>
            <w:r>
              <w:rPr>
                <w:rFonts w:ascii="Calibri" w:eastAsia="Calibri"/>
                <w:spacing w:val="-17"/>
                <w:sz w:val="21"/>
              </w:rPr>
              <w:t>L</w:t>
            </w:r>
            <w:r>
              <w:rPr>
                <w:rFonts w:ascii="Calibri" w:eastAsia="Calibri"/>
                <w:spacing w:val="-12"/>
                <w:sz w:val="21"/>
              </w:rPr>
              <w:t>Y</w:t>
            </w:r>
            <w:r>
              <w:rPr>
                <w:rFonts w:ascii="Calibri" w:eastAsia="Calibri"/>
                <w:spacing w:val="-3"/>
                <w:sz w:val="21"/>
              </w:rPr>
              <w:t>/</w:t>
            </w:r>
            <w:r>
              <w:rPr>
                <w:rFonts w:ascii="Calibri" w:eastAsia="Calibri"/>
                <w:spacing w:val="-1"/>
                <w:sz w:val="21"/>
              </w:rPr>
              <w:t>T</w:t>
            </w:r>
            <w:r>
              <w:rPr>
                <w:rFonts w:ascii="Calibri" w:eastAsia="Calibri"/>
                <w:spacing w:val="-2"/>
                <w:sz w:val="21"/>
              </w:rPr>
              <w:t>16</w:t>
            </w:r>
            <w:r>
              <w:rPr>
                <w:rFonts w:ascii="Calibri" w:eastAsia="Calibri"/>
                <w:sz w:val="21"/>
              </w:rPr>
              <w:t>4</w:t>
            </w:r>
            <w:r>
              <w:rPr>
                <w:rFonts w:ascii="Calibri" w:eastAsia="Calibri"/>
                <w:spacing w:val="-2"/>
                <w:sz w:val="21"/>
              </w:rPr>
              <w:t>6</w:t>
            </w:r>
            <w:r>
              <w:rPr>
                <w:rFonts w:ascii="Calibri" w:eastAsia="Calibri"/>
                <w:spacing w:val="-3"/>
                <w:sz w:val="21"/>
              </w:rPr>
              <w:t>-</w:t>
            </w:r>
            <w:r>
              <w:rPr>
                <w:rFonts w:ascii="Calibri" w:eastAsia="Calibri"/>
                <w:sz w:val="21"/>
              </w:rPr>
              <w:t>2</w:t>
            </w:r>
            <w:r>
              <w:rPr>
                <w:rFonts w:ascii="Calibri" w:eastAsia="Calibri"/>
                <w:spacing w:val="-2"/>
                <w:sz w:val="21"/>
              </w:rPr>
              <w:t>0</w:t>
            </w:r>
            <w:r>
              <w:rPr>
                <w:rFonts w:ascii="Calibri" w:eastAsia="Calibri"/>
                <w:sz w:val="21"/>
              </w:rPr>
              <w:t>0</w:t>
            </w:r>
            <w:r>
              <w:rPr>
                <w:rFonts w:ascii="Calibri" w:eastAsia="Calibri"/>
                <w:spacing w:val="-1"/>
                <w:sz w:val="21"/>
              </w:rPr>
              <w:t>5</w:t>
            </w:r>
            <w:r>
              <w:rPr>
                <w:spacing w:val="-106"/>
                <w:sz w:val="21"/>
              </w:rPr>
              <w:t>）</w:t>
            </w:r>
            <w:r>
              <w:rPr>
                <w:spacing w:val="-17"/>
                <w:sz w:val="21"/>
              </w:rPr>
              <w:t>、《低效林改造技术规程</w:t>
            </w:r>
            <w:r>
              <w:rPr>
                <w:spacing w:val="-140"/>
                <w:sz w:val="21"/>
              </w:rPr>
              <w:t>》</w:t>
            </w:r>
            <w:r>
              <w:rPr>
                <w:spacing w:val="-3"/>
                <w:sz w:val="21"/>
              </w:rPr>
              <w:t>（</w:t>
            </w:r>
            <w:r>
              <w:rPr>
                <w:rFonts w:ascii="Calibri" w:eastAsia="Calibri"/>
                <w:spacing w:val="-17"/>
                <w:sz w:val="21"/>
              </w:rPr>
              <w:t>L</w:t>
            </w:r>
            <w:r>
              <w:rPr>
                <w:rFonts w:ascii="Calibri" w:eastAsia="Calibri"/>
                <w:spacing w:val="-12"/>
                <w:sz w:val="21"/>
              </w:rPr>
              <w:t>Y</w:t>
            </w:r>
            <w:r>
              <w:rPr>
                <w:rFonts w:ascii="Calibri" w:eastAsia="Calibri"/>
                <w:spacing w:val="-3"/>
                <w:sz w:val="21"/>
              </w:rPr>
              <w:t>/</w:t>
            </w:r>
            <w:r>
              <w:rPr>
                <w:rFonts w:ascii="Calibri" w:eastAsia="Calibri"/>
                <w:spacing w:val="-1"/>
                <w:sz w:val="21"/>
              </w:rPr>
              <w:t>T</w:t>
            </w:r>
            <w:r>
              <w:rPr>
                <w:rFonts w:ascii="Calibri" w:eastAsia="Calibri"/>
                <w:spacing w:val="-2"/>
                <w:sz w:val="21"/>
              </w:rPr>
              <w:t>169</w:t>
            </w:r>
            <w:r>
              <w:rPr>
                <w:rFonts w:ascii="Calibri" w:eastAsia="Calibri"/>
                <w:sz w:val="21"/>
              </w:rPr>
              <w:t>0</w:t>
            </w:r>
            <w:r>
              <w:rPr>
                <w:rFonts w:ascii="Calibri" w:eastAsia="Calibri"/>
                <w:spacing w:val="-3"/>
                <w:sz w:val="21"/>
              </w:rPr>
              <w:t>-</w:t>
            </w:r>
            <w:r>
              <w:rPr>
                <w:rFonts w:ascii="Calibri" w:eastAsia="Calibri"/>
                <w:sz w:val="21"/>
              </w:rPr>
              <w:t>2</w:t>
            </w:r>
            <w:r>
              <w:rPr>
                <w:rFonts w:ascii="Calibri" w:eastAsia="Calibri"/>
                <w:spacing w:val="-2"/>
                <w:sz w:val="21"/>
              </w:rPr>
              <w:t>0</w:t>
            </w:r>
            <w:r>
              <w:rPr>
                <w:rFonts w:ascii="Calibri" w:eastAsia="Calibri"/>
                <w:spacing w:val="-4"/>
                <w:sz w:val="21"/>
              </w:rPr>
              <w:t>0</w:t>
            </w:r>
            <w:r>
              <w:rPr>
                <w:rFonts w:ascii="Calibri" w:eastAsia="Calibri"/>
                <w:spacing w:val="-2"/>
                <w:sz w:val="21"/>
              </w:rPr>
              <w:t>7</w:t>
            </w:r>
            <w:r>
              <w:rPr>
                <w:sz w:val="21"/>
              </w:rPr>
              <w:t>）</w:t>
            </w:r>
            <w:r>
              <w:rPr>
                <w:spacing w:val="-15"/>
                <w:sz w:val="21"/>
              </w:rPr>
              <w:t>和《森林抚育规程》</w:t>
            </w:r>
            <w:r>
              <w:rPr>
                <w:sz w:val="21"/>
              </w:rPr>
              <w:t>（</w:t>
            </w:r>
            <w:r>
              <w:rPr>
                <w:rFonts w:ascii="Calibri" w:eastAsia="Calibri"/>
                <w:sz w:val="21"/>
              </w:rPr>
              <w:t>GB/T15781-2009</w:t>
            </w:r>
            <w:r>
              <w:rPr>
                <w:sz w:val="21"/>
              </w:rPr>
              <w:t>）</w:t>
            </w:r>
            <w:r>
              <w:rPr>
                <w:spacing w:val="-3"/>
                <w:sz w:val="21"/>
              </w:rPr>
              <w:t>的规定执行。</w:t>
            </w:r>
          </w:p>
          <w:p>
            <w:pPr>
              <w:pStyle w:val="12"/>
              <w:spacing w:line="266" w:lineRule="exact"/>
              <w:ind w:left="103"/>
              <w:rPr>
                <w:sz w:val="21"/>
              </w:rPr>
            </w:pPr>
            <w:r>
              <w:rPr>
                <w:b/>
                <w:sz w:val="21"/>
              </w:rPr>
              <w:t>第二十五条</w:t>
            </w:r>
            <w:r>
              <w:rPr>
                <w:sz w:val="21"/>
              </w:rPr>
              <w:t>公益林可以进行抚育和更新性质的采伐，但采伐指标不得跨年度结转使用。</w:t>
            </w:r>
          </w:p>
        </w:tc>
        <w:tc>
          <w:tcPr>
            <w:tcW w:w="2693" w:type="dxa"/>
            <w:vMerge w:val="continue"/>
            <w:tcBorders>
              <w:top w:val="nil"/>
              <w:left w:val="single" w:color="000000" w:sz="2" w:space="0"/>
              <w:bottom w:val="single" w:color="000000" w:sz="2" w:space="0"/>
              <w:righ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1387" w:type="dxa"/>
            <w:gridSpan w:val="2"/>
            <w:vMerge w:val="restart"/>
            <w:tcBorders>
              <w:top w:val="single" w:color="000000" w:sz="2" w:space="0"/>
              <w:left w:val="single" w:color="000000" w:sz="2" w:space="0"/>
              <w:bottom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23"/>
              </w:rPr>
            </w:pPr>
          </w:p>
          <w:p>
            <w:pPr>
              <w:pStyle w:val="12"/>
              <w:ind w:left="107"/>
              <w:rPr>
                <w:sz w:val="21"/>
              </w:rPr>
            </w:pPr>
            <w:r>
              <w:rPr>
                <w:sz w:val="21"/>
              </w:rPr>
              <w:t>重要湖库</w:t>
            </w:r>
          </w:p>
        </w:tc>
        <w:tc>
          <w:tcPr>
            <w:tcW w:w="1164" w:type="dxa"/>
          </w:tcPr>
          <w:p>
            <w:pPr>
              <w:pStyle w:val="12"/>
              <w:rPr>
                <w:b/>
                <w:sz w:val="20"/>
              </w:rPr>
            </w:pPr>
          </w:p>
          <w:p>
            <w:pPr>
              <w:pStyle w:val="12"/>
              <w:rPr>
                <w:b/>
                <w:sz w:val="20"/>
              </w:rPr>
            </w:pPr>
          </w:p>
          <w:p>
            <w:pPr>
              <w:pStyle w:val="12"/>
              <w:rPr>
                <w:b/>
                <w:sz w:val="20"/>
              </w:rPr>
            </w:pPr>
          </w:p>
          <w:p>
            <w:pPr>
              <w:pStyle w:val="12"/>
              <w:rPr>
                <w:b/>
                <w:sz w:val="20"/>
              </w:rPr>
            </w:pPr>
          </w:p>
          <w:p>
            <w:pPr>
              <w:pStyle w:val="12"/>
              <w:spacing w:before="160" w:line="211" w:lineRule="auto"/>
              <w:ind w:left="103" w:right="205"/>
              <w:jc w:val="both"/>
              <w:rPr>
                <w:sz w:val="21"/>
              </w:rPr>
            </w:pPr>
            <w:r>
              <w:rPr>
                <w:sz w:val="21"/>
              </w:rPr>
              <w:t>禁止开发建设活动的要求</w:t>
            </w:r>
          </w:p>
        </w:tc>
        <w:tc>
          <w:tcPr>
            <w:tcW w:w="16110" w:type="dxa"/>
            <w:tcBorders>
              <w:right w:val="single" w:color="000000" w:sz="2" w:space="0"/>
            </w:tcBorders>
          </w:tcPr>
          <w:p>
            <w:pPr>
              <w:pStyle w:val="12"/>
              <w:spacing w:line="233" w:lineRule="exact"/>
              <w:ind w:left="103"/>
              <w:rPr>
                <w:sz w:val="21"/>
              </w:rPr>
            </w:pPr>
            <w:r>
              <w:rPr>
                <w:b/>
                <w:sz w:val="21"/>
              </w:rPr>
              <w:t>第十七条</w:t>
            </w:r>
            <w:r>
              <w:rPr>
                <w:sz w:val="21"/>
              </w:rPr>
              <w:t>在水利工程保护范围内，禁止下列影响工程运行和危害工程安全的行为：</w:t>
            </w:r>
          </w:p>
          <w:p>
            <w:pPr>
              <w:pStyle w:val="12"/>
              <w:spacing w:line="236" w:lineRule="exact"/>
              <w:ind w:left="103"/>
              <w:rPr>
                <w:sz w:val="21"/>
              </w:rPr>
            </w:pPr>
            <w:r>
              <w:rPr>
                <w:sz w:val="21"/>
              </w:rPr>
              <w:t>（一）生产、加工、储存或者销售易燃易爆、剧毒、放射性等危险物品；</w:t>
            </w:r>
          </w:p>
          <w:p>
            <w:pPr>
              <w:pStyle w:val="12"/>
              <w:spacing w:line="235" w:lineRule="exact"/>
              <w:ind w:left="103"/>
              <w:rPr>
                <w:sz w:val="21"/>
              </w:rPr>
            </w:pPr>
            <w:r>
              <w:rPr>
                <w:sz w:val="21"/>
              </w:rPr>
              <w:t>（二）爆破、打井、钻探；</w:t>
            </w:r>
          </w:p>
          <w:p>
            <w:pPr>
              <w:pStyle w:val="12"/>
              <w:spacing w:line="237" w:lineRule="exact"/>
              <w:ind w:left="103"/>
              <w:rPr>
                <w:sz w:val="21"/>
              </w:rPr>
            </w:pPr>
            <w:r>
              <w:rPr>
                <w:sz w:val="21"/>
              </w:rPr>
              <w:t>（三）兴建涵洞、开挖隧洞、开采矿产资源影响工程蓄水和安全；</w:t>
            </w:r>
          </w:p>
          <w:p>
            <w:pPr>
              <w:pStyle w:val="12"/>
              <w:spacing w:line="237" w:lineRule="exact"/>
              <w:ind w:left="103"/>
              <w:rPr>
                <w:sz w:val="21"/>
              </w:rPr>
            </w:pPr>
            <w:r>
              <w:rPr>
                <w:sz w:val="21"/>
              </w:rPr>
              <w:t>（四）其他可能影响工程运行或者危害工程安全的行为。</w:t>
            </w:r>
          </w:p>
          <w:p>
            <w:pPr>
              <w:pStyle w:val="12"/>
              <w:spacing w:line="235" w:lineRule="exact"/>
              <w:ind w:left="103"/>
              <w:rPr>
                <w:sz w:val="21"/>
              </w:rPr>
            </w:pPr>
            <w:r>
              <w:rPr>
                <w:b/>
                <w:sz w:val="21"/>
              </w:rPr>
              <w:t>第十八条</w:t>
            </w:r>
            <w:r>
              <w:rPr>
                <w:sz w:val="21"/>
              </w:rPr>
              <w:t>在水利工程管理范围内，除执行本条例第十七条规定外，禁止下列行为：</w:t>
            </w:r>
          </w:p>
          <w:p>
            <w:pPr>
              <w:pStyle w:val="12"/>
              <w:spacing w:line="236" w:lineRule="exact"/>
              <w:ind w:left="103"/>
              <w:rPr>
                <w:sz w:val="21"/>
              </w:rPr>
            </w:pPr>
            <w:r>
              <w:rPr>
                <w:sz w:val="21"/>
              </w:rPr>
              <w:t>（一）建设影响工程正常运行或者危害工程安全的建筑物、构筑物及设施；</w:t>
            </w:r>
          </w:p>
          <w:p>
            <w:pPr>
              <w:pStyle w:val="12"/>
              <w:spacing w:line="236" w:lineRule="exact"/>
              <w:ind w:left="103"/>
              <w:rPr>
                <w:sz w:val="21"/>
              </w:rPr>
            </w:pPr>
            <w:r>
              <w:rPr>
                <w:sz w:val="21"/>
              </w:rPr>
              <w:t>（二）开渠、挖塘、采石、取土、开采地下资源、葬坟、炸鱼；</w:t>
            </w:r>
          </w:p>
          <w:p>
            <w:pPr>
              <w:pStyle w:val="12"/>
              <w:spacing w:line="235" w:lineRule="exact"/>
              <w:ind w:left="103"/>
              <w:rPr>
                <w:sz w:val="21"/>
              </w:rPr>
            </w:pPr>
            <w:r>
              <w:rPr>
                <w:sz w:val="21"/>
              </w:rPr>
              <w:t>（三）倾倒、堆放影响工程正常运行或者危害工程安全的弃渣、弃土或者其他废弃物；</w:t>
            </w:r>
          </w:p>
          <w:p>
            <w:pPr>
              <w:pStyle w:val="12"/>
              <w:spacing w:line="236" w:lineRule="exact"/>
              <w:ind w:left="103"/>
              <w:rPr>
                <w:sz w:val="21"/>
              </w:rPr>
            </w:pPr>
            <w:r>
              <w:rPr>
                <w:sz w:val="21"/>
              </w:rPr>
              <w:t>（四）在土坝坝面或者坝坡放牧；</w:t>
            </w:r>
          </w:p>
          <w:p>
            <w:pPr>
              <w:pStyle w:val="12"/>
              <w:spacing w:line="236" w:lineRule="exact"/>
              <w:ind w:left="103"/>
              <w:rPr>
                <w:sz w:val="21"/>
              </w:rPr>
            </w:pPr>
            <w:r>
              <w:rPr>
                <w:sz w:val="21"/>
              </w:rPr>
              <w:t>（五）在水库溢洪道和排涝、输水渠道内设置影响行洪和输水的障碍物或者种植林木和高秆作物。</w:t>
            </w:r>
          </w:p>
          <w:p>
            <w:pPr>
              <w:pStyle w:val="12"/>
              <w:spacing w:before="4" w:line="236" w:lineRule="exact"/>
              <w:ind w:left="103" w:right="99"/>
              <w:rPr>
                <w:sz w:val="21"/>
              </w:rPr>
            </w:pPr>
            <w:r>
              <w:rPr>
                <w:b/>
                <w:sz w:val="21"/>
              </w:rPr>
              <w:t>第十九条</w:t>
            </w:r>
            <w:r>
              <w:rPr>
                <w:spacing w:val="-8"/>
                <w:sz w:val="21"/>
              </w:rPr>
              <w:t>任何单位和个人不得侵占、破坏水利工程建筑物及其观测、防汛、通讯、输变电、水文、交通等附属设施，不得擅自移动、覆盖、涂改、拆除、损毁界桩、界碑、标</w:t>
            </w:r>
            <w:r>
              <w:rPr>
                <w:spacing w:val="-5"/>
                <w:sz w:val="21"/>
              </w:rPr>
              <w:t>识，不得在水利工程专用输电、通信线路上架线和接线。</w:t>
            </w:r>
          </w:p>
        </w:tc>
        <w:tc>
          <w:tcPr>
            <w:tcW w:w="2693" w:type="dxa"/>
            <w:vMerge w:val="restart"/>
            <w:tcBorders>
              <w:top w:val="single" w:color="000000" w:sz="2" w:space="0"/>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3" w:line="266" w:lineRule="auto"/>
              <w:ind w:left="106" w:right="99"/>
              <w:rPr>
                <w:sz w:val="21"/>
              </w:rPr>
            </w:pPr>
            <w:r>
              <w:rPr>
                <w:sz w:val="21"/>
              </w:rPr>
              <w:t>《贵州省水利工程管理条例》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1387" w:type="dxa"/>
            <w:gridSpan w:val="2"/>
            <w:vMerge w:val="continue"/>
            <w:tcBorders>
              <w:top w:val="nil"/>
              <w:left w:val="single" w:color="000000" w:sz="2" w:space="0"/>
              <w:bottom w:val="single" w:color="000000" w:sz="2" w:space="0"/>
            </w:tcBorders>
          </w:tcPr>
          <w:p>
            <w:pPr>
              <w:rPr>
                <w:sz w:val="2"/>
                <w:szCs w:val="2"/>
              </w:rPr>
            </w:pPr>
          </w:p>
        </w:tc>
        <w:tc>
          <w:tcPr>
            <w:tcW w:w="1164" w:type="dxa"/>
          </w:tcPr>
          <w:p>
            <w:pPr>
              <w:pStyle w:val="12"/>
              <w:spacing w:line="236" w:lineRule="exact"/>
              <w:ind w:left="103" w:right="205"/>
              <w:rPr>
                <w:sz w:val="21"/>
              </w:rPr>
            </w:pPr>
            <w:r>
              <w:rPr>
                <w:sz w:val="21"/>
              </w:rPr>
              <w:t>污染物排放管控</w:t>
            </w:r>
          </w:p>
        </w:tc>
        <w:tc>
          <w:tcPr>
            <w:tcW w:w="16110" w:type="dxa"/>
            <w:tcBorders>
              <w:right w:val="single" w:color="000000" w:sz="2" w:space="0"/>
            </w:tcBorders>
          </w:tcPr>
          <w:p>
            <w:pPr>
              <w:pStyle w:val="12"/>
              <w:spacing w:line="236" w:lineRule="exact"/>
              <w:ind w:left="103" w:right="24"/>
              <w:rPr>
                <w:sz w:val="21"/>
              </w:rPr>
            </w:pPr>
            <w:r>
              <w:rPr>
                <w:b/>
                <w:sz w:val="21"/>
              </w:rPr>
              <w:t>第二十一条</w:t>
            </w:r>
            <w:r>
              <w:rPr>
                <w:spacing w:val="-3"/>
                <w:sz w:val="21"/>
              </w:rPr>
              <w:t>任何单位和个人不得擅自占用水利工程或者在水利工程管理范围内建设项目及开展经营活动，不得擅自占用农灌水源或者从水库、引水、提水工程内取水、截水， 不得擅自在水利工程水域内设置或者增大排污口，排放污水、弃水以及改变水利工程原有功能、综合调度方案等。</w:t>
            </w:r>
          </w:p>
        </w:tc>
        <w:tc>
          <w:tcPr>
            <w:tcW w:w="2693" w:type="dxa"/>
            <w:vMerge w:val="continue"/>
            <w:tcBorders>
              <w:top w:val="nil"/>
              <w:left w:val="single" w:color="000000" w:sz="2" w:space="0"/>
              <w:bottom w:val="single" w:color="000000" w:sz="2" w:space="0"/>
              <w:righ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1387" w:type="dxa"/>
            <w:gridSpan w:val="2"/>
            <w:vMerge w:val="continue"/>
            <w:tcBorders>
              <w:top w:val="nil"/>
              <w:left w:val="single" w:color="000000" w:sz="2" w:space="0"/>
              <w:bottom w:val="single" w:color="000000" w:sz="2" w:space="0"/>
            </w:tcBorders>
          </w:tcPr>
          <w:p>
            <w:pPr>
              <w:rPr>
                <w:sz w:val="2"/>
                <w:szCs w:val="2"/>
              </w:rPr>
            </w:pPr>
          </w:p>
        </w:tc>
        <w:tc>
          <w:tcPr>
            <w:tcW w:w="1164" w:type="dxa"/>
          </w:tcPr>
          <w:p>
            <w:pPr>
              <w:pStyle w:val="12"/>
              <w:spacing w:before="11"/>
              <w:rPr>
                <w:b/>
                <w:sz w:val="18"/>
              </w:rPr>
            </w:pPr>
          </w:p>
          <w:p>
            <w:pPr>
              <w:pStyle w:val="12"/>
              <w:spacing w:line="208" w:lineRule="auto"/>
              <w:ind w:left="103" w:right="205"/>
              <w:rPr>
                <w:sz w:val="21"/>
              </w:rPr>
            </w:pPr>
            <w:r>
              <w:rPr>
                <w:sz w:val="21"/>
              </w:rPr>
              <w:t>环境风险防控</w:t>
            </w:r>
          </w:p>
        </w:tc>
        <w:tc>
          <w:tcPr>
            <w:tcW w:w="16110" w:type="dxa"/>
            <w:tcBorders>
              <w:right w:val="single" w:color="000000" w:sz="2" w:space="0"/>
            </w:tcBorders>
          </w:tcPr>
          <w:p>
            <w:pPr>
              <w:pStyle w:val="12"/>
              <w:spacing w:before="6" w:line="208" w:lineRule="auto"/>
              <w:ind w:left="103" w:right="27"/>
              <w:rPr>
                <w:sz w:val="21"/>
              </w:rPr>
            </w:pPr>
            <w:r>
              <w:rPr>
                <w:b/>
                <w:sz w:val="21"/>
              </w:rPr>
              <w:t>第二十条</w:t>
            </w:r>
            <w:r>
              <w:rPr>
                <w:spacing w:val="-3"/>
                <w:sz w:val="21"/>
              </w:rPr>
              <w:t>水利工程所有者、管理者或者经营者应当在堤顶、坝顶及水闸工作桥上设置禁行标志。除执行防汛抢险、水利工程管理和维护的车辆外，禁止其他机动车辆在堤顶、坝顶及水闸工作桥上通行。</w:t>
            </w:r>
          </w:p>
          <w:p>
            <w:pPr>
              <w:pStyle w:val="12"/>
              <w:spacing w:line="229" w:lineRule="exact"/>
              <w:ind w:left="103"/>
              <w:rPr>
                <w:sz w:val="21"/>
              </w:rPr>
            </w:pPr>
            <w:r>
              <w:rPr>
                <w:sz w:val="21"/>
              </w:rPr>
              <w:t>确需利用堤顶、坝顶及水闸工作桥兼做道路的，应当符合工程相关安全标准要求，并设立限载标志；机动车载运爆炸物品、易燃易爆化学物品以及剧毒、放射性等危险物品通</w:t>
            </w:r>
          </w:p>
          <w:p>
            <w:pPr>
              <w:pStyle w:val="12"/>
              <w:spacing w:line="220" w:lineRule="exact"/>
              <w:ind w:left="103"/>
              <w:rPr>
                <w:sz w:val="21"/>
              </w:rPr>
            </w:pPr>
            <w:r>
              <w:rPr>
                <w:sz w:val="21"/>
              </w:rPr>
              <w:t>行的，应当经依法批准后，按照指定地点、时间、速度行驶，悬挂警示标志并采取必要的安全措施。</w:t>
            </w:r>
          </w:p>
        </w:tc>
        <w:tc>
          <w:tcPr>
            <w:tcW w:w="2693" w:type="dxa"/>
            <w:vMerge w:val="continue"/>
            <w:tcBorders>
              <w:top w:val="nil"/>
              <w:left w:val="single" w:color="000000" w:sz="2" w:space="0"/>
              <w:bottom w:val="single" w:color="000000" w:sz="2" w:space="0"/>
              <w:righ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1387" w:type="dxa"/>
            <w:gridSpan w:val="2"/>
            <w:vMerge w:val="continue"/>
            <w:tcBorders>
              <w:top w:val="nil"/>
              <w:left w:val="single" w:color="000000" w:sz="2" w:space="0"/>
              <w:bottom w:val="single" w:color="000000" w:sz="2" w:space="0"/>
            </w:tcBorders>
          </w:tcPr>
          <w:p>
            <w:pPr>
              <w:rPr>
                <w:sz w:val="2"/>
                <w:szCs w:val="2"/>
              </w:rPr>
            </w:pPr>
          </w:p>
        </w:tc>
        <w:tc>
          <w:tcPr>
            <w:tcW w:w="1164" w:type="dxa"/>
          </w:tcPr>
          <w:p>
            <w:pPr>
              <w:pStyle w:val="12"/>
              <w:spacing w:line="233" w:lineRule="exact"/>
              <w:ind w:left="103"/>
              <w:rPr>
                <w:sz w:val="21"/>
              </w:rPr>
            </w:pPr>
            <w:r>
              <w:rPr>
                <w:spacing w:val="-1"/>
                <w:sz w:val="21"/>
              </w:rPr>
              <w:t>资源开发</w:t>
            </w:r>
          </w:p>
          <w:p>
            <w:pPr>
              <w:pStyle w:val="12"/>
              <w:spacing w:line="220" w:lineRule="exact"/>
              <w:ind w:left="103"/>
              <w:rPr>
                <w:sz w:val="21"/>
              </w:rPr>
            </w:pPr>
            <w:r>
              <w:rPr>
                <w:spacing w:val="-1"/>
                <w:sz w:val="21"/>
              </w:rPr>
              <w:t>效率要求</w:t>
            </w:r>
          </w:p>
        </w:tc>
        <w:tc>
          <w:tcPr>
            <w:tcW w:w="16110" w:type="dxa"/>
            <w:tcBorders>
              <w:right w:val="single" w:color="000000" w:sz="2" w:space="0"/>
            </w:tcBorders>
          </w:tcPr>
          <w:p>
            <w:pPr>
              <w:pStyle w:val="12"/>
              <w:spacing w:line="233" w:lineRule="exact"/>
              <w:ind w:left="103"/>
              <w:rPr>
                <w:sz w:val="21"/>
              </w:rPr>
            </w:pPr>
            <w:r>
              <w:rPr>
                <w:b/>
                <w:sz w:val="21"/>
              </w:rPr>
              <w:t>第二十一条</w:t>
            </w:r>
            <w:r>
              <w:rPr>
                <w:sz w:val="21"/>
              </w:rPr>
              <w:t>任何单位和个人不得擅自占用水利工程或者在水利工程管理范围内建设项目及开展经营活动，不得擅自占用农灌水源或者从水库、引水、提水工程内取水、截水，</w:t>
            </w:r>
          </w:p>
          <w:p>
            <w:pPr>
              <w:pStyle w:val="12"/>
              <w:spacing w:line="220" w:lineRule="exact"/>
              <w:ind w:left="103"/>
              <w:rPr>
                <w:sz w:val="21"/>
              </w:rPr>
            </w:pPr>
            <w:r>
              <w:rPr>
                <w:sz w:val="21"/>
              </w:rPr>
              <w:t>不得擅自在水利工程水域内设置或者增大排污口，排放污水、弃水以及改变水利工程原有功能、综合调度方案等。</w:t>
            </w:r>
          </w:p>
        </w:tc>
        <w:tc>
          <w:tcPr>
            <w:tcW w:w="2693" w:type="dxa"/>
            <w:vMerge w:val="continue"/>
            <w:tcBorders>
              <w:top w:val="nil"/>
              <w:left w:val="single" w:color="000000" w:sz="2" w:space="0"/>
              <w:bottom w:val="single" w:color="000000" w:sz="2" w:space="0"/>
              <w:righ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444" w:type="dxa"/>
            <w:vMerge w:val="restart"/>
            <w:tcBorders>
              <w:top w:val="single" w:color="000000" w:sz="2" w:space="0"/>
              <w:left w:val="single" w:color="000000" w:sz="2" w:space="0"/>
              <w:bottom w:val="single" w:color="000000" w:sz="2" w:space="0"/>
              <w:right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170" w:line="211" w:lineRule="auto"/>
              <w:ind w:left="107" w:right="117"/>
              <w:jc w:val="both"/>
              <w:rPr>
                <w:sz w:val="21"/>
              </w:rPr>
            </w:pPr>
            <w:r>
              <w:rPr>
                <w:sz w:val="21"/>
              </w:rPr>
              <w:t>其他区域</w:t>
            </w:r>
          </w:p>
        </w:tc>
        <w:tc>
          <w:tcPr>
            <w:tcW w:w="704" w:type="dxa"/>
            <w:vMerge w:val="restart"/>
            <w:tcBorders>
              <w:top w:val="single" w:color="000000" w:sz="2" w:space="0"/>
              <w:left w:val="single" w:color="000000" w:sz="2" w:space="0"/>
              <w:bottom w:val="single" w:color="000000" w:sz="2" w:space="0"/>
            </w:tcBorders>
          </w:tcPr>
          <w:p>
            <w:pPr>
              <w:pStyle w:val="12"/>
              <w:rPr>
                <w:b/>
                <w:sz w:val="20"/>
              </w:rPr>
            </w:pPr>
          </w:p>
          <w:p>
            <w:pPr>
              <w:pStyle w:val="12"/>
              <w:rPr>
                <w:b/>
                <w:sz w:val="20"/>
              </w:rPr>
            </w:pPr>
          </w:p>
          <w:p>
            <w:pPr>
              <w:pStyle w:val="12"/>
              <w:rPr>
                <w:b/>
                <w:sz w:val="20"/>
              </w:rPr>
            </w:pPr>
          </w:p>
          <w:p>
            <w:pPr>
              <w:pStyle w:val="12"/>
              <w:rPr>
                <w:b/>
                <w:sz w:val="20"/>
              </w:rPr>
            </w:pPr>
          </w:p>
          <w:p>
            <w:pPr>
              <w:pStyle w:val="12"/>
              <w:spacing w:before="5"/>
              <w:rPr>
                <w:b/>
              </w:rPr>
            </w:pPr>
          </w:p>
          <w:p>
            <w:pPr>
              <w:pStyle w:val="12"/>
              <w:spacing w:line="211" w:lineRule="auto"/>
              <w:ind w:left="107" w:right="164"/>
              <w:jc w:val="both"/>
              <w:rPr>
                <w:sz w:val="21"/>
              </w:rPr>
            </w:pPr>
            <w:r>
              <w:rPr>
                <w:sz w:val="21"/>
              </w:rPr>
              <w:t>矿产开发区</w:t>
            </w:r>
          </w:p>
        </w:tc>
        <w:tc>
          <w:tcPr>
            <w:tcW w:w="683" w:type="dxa"/>
            <w:vMerge w:val="restart"/>
            <w:tcBorders>
              <w:top w:val="single" w:color="000000" w:sz="2" w:space="0"/>
              <w:bottom w:val="single" w:color="000000" w:sz="2" w:space="0"/>
            </w:tcBorders>
          </w:tcPr>
          <w:p>
            <w:pPr>
              <w:pStyle w:val="12"/>
              <w:rPr>
                <w:b/>
                <w:sz w:val="20"/>
              </w:rPr>
            </w:pPr>
          </w:p>
          <w:p>
            <w:pPr>
              <w:pStyle w:val="12"/>
              <w:rPr>
                <w:b/>
                <w:sz w:val="20"/>
              </w:rPr>
            </w:pPr>
          </w:p>
          <w:p>
            <w:pPr>
              <w:pStyle w:val="12"/>
              <w:spacing w:before="12"/>
              <w:rPr>
                <w:b/>
                <w:sz w:val="15"/>
              </w:rPr>
            </w:pPr>
          </w:p>
          <w:p>
            <w:pPr>
              <w:pStyle w:val="12"/>
              <w:spacing w:line="211" w:lineRule="auto"/>
              <w:ind w:left="140" w:right="109"/>
              <w:jc w:val="both"/>
              <w:rPr>
                <w:sz w:val="21"/>
              </w:rPr>
            </w:pPr>
            <w:r>
              <w:rPr>
                <w:sz w:val="21"/>
              </w:rPr>
              <w:t>国家级管控要求</w:t>
            </w:r>
          </w:p>
        </w:tc>
        <w:tc>
          <w:tcPr>
            <w:tcW w:w="1164" w:type="dxa"/>
          </w:tcPr>
          <w:p>
            <w:pPr>
              <w:pStyle w:val="12"/>
              <w:rPr>
                <w:b/>
                <w:sz w:val="20"/>
              </w:rPr>
            </w:pPr>
          </w:p>
          <w:p>
            <w:pPr>
              <w:pStyle w:val="12"/>
              <w:spacing w:before="5"/>
              <w:rPr>
                <w:b/>
                <w:sz w:val="17"/>
              </w:rPr>
            </w:pPr>
          </w:p>
          <w:p>
            <w:pPr>
              <w:pStyle w:val="12"/>
              <w:spacing w:line="208" w:lineRule="auto"/>
              <w:ind w:left="103" w:right="205"/>
              <w:jc w:val="both"/>
              <w:rPr>
                <w:sz w:val="21"/>
              </w:rPr>
            </w:pPr>
            <w:r>
              <w:rPr>
                <w:sz w:val="21"/>
              </w:rPr>
              <w:t>禁止开发建设活动的要求</w:t>
            </w:r>
          </w:p>
        </w:tc>
        <w:tc>
          <w:tcPr>
            <w:tcW w:w="16110" w:type="dxa"/>
            <w:tcBorders>
              <w:right w:val="single" w:color="000000" w:sz="2" w:space="0"/>
            </w:tcBorders>
          </w:tcPr>
          <w:p>
            <w:pPr>
              <w:pStyle w:val="12"/>
              <w:numPr>
                <w:ilvl w:val="0"/>
                <w:numId w:val="3"/>
              </w:numPr>
              <w:tabs>
                <w:tab w:val="left" w:pos="263"/>
              </w:tabs>
              <w:spacing w:before="6" w:line="208" w:lineRule="auto"/>
              <w:ind w:right="147" w:firstLine="0"/>
              <w:rPr>
                <w:sz w:val="21"/>
              </w:rPr>
            </w:pPr>
            <w:r>
              <w:rPr>
                <w:spacing w:val="-3"/>
                <w:sz w:val="21"/>
              </w:rPr>
              <w:t>禁止在依法划定的自然保护区</w:t>
            </w:r>
            <w:r>
              <w:rPr>
                <w:rFonts w:ascii="Times New Roman" w:eastAsia="Times New Roman"/>
                <w:spacing w:val="-4"/>
                <w:sz w:val="21"/>
              </w:rPr>
              <w:t>(</w:t>
            </w:r>
            <w:r>
              <w:rPr>
                <w:spacing w:val="-3"/>
                <w:sz w:val="21"/>
              </w:rPr>
              <w:t>核心区、缓冲区</w:t>
            </w:r>
            <w:r>
              <w:rPr>
                <w:rFonts w:ascii="Times New Roman" w:eastAsia="Times New Roman"/>
                <w:sz w:val="21"/>
              </w:rPr>
              <w:t>)</w:t>
            </w:r>
            <w:r>
              <w:rPr>
                <w:spacing w:val="-3"/>
                <w:sz w:val="21"/>
              </w:rPr>
              <w:t>、风景名胜区、森林公园、饮用水水源保护区、重要湖泊周边、文物古迹所在地、地质遗迹保护区、基本农田保护区等区域内采矿。</w:t>
            </w:r>
          </w:p>
          <w:p>
            <w:pPr>
              <w:pStyle w:val="12"/>
              <w:numPr>
                <w:ilvl w:val="0"/>
                <w:numId w:val="3"/>
              </w:numPr>
              <w:tabs>
                <w:tab w:val="left" w:pos="263"/>
              </w:tabs>
              <w:spacing w:line="229" w:lineRule="exact"/>
              <w:ind w:left="263"/>
              <w:rPr>
                <w:sz w:val="21"/>
              </w:rPr>
            </w:pPr>
            <w:r>
              <w:rPr>
                <w:spacing w:val="-3"/>
                <w:sz w:val="21"/>
              </w:rPr>
              <w:t>禁止在铁路、国道、省道两侧的直观可视范围内进行露天开采。</w:t>
            </w:r>
          </w:p>
          <w:p>
            <w:pPr>
              <w:pStyle w:val="12"/>
              <w:numPr>
                <w:ilvl w:val="0"/>
                <w:numId w:val="3"/>
              </w:numPr>
              <w:tabs>
                <w:tab w:val="left" w:pos="263"/>
              </w:tabs>
              <w:spacing w:line="235" w:lineRule="exact"/>
              <w:ind w:left="263"/>
              <w:rPr>
                <w:sz w:val="21"/>
              </w:rPr>
            </w:pPr>
            <w:r>
              <w:rPr>
                <w:spacing w:val="-3"/>
                <w:sz w:val="21"/>
              </w:rPr>
              <w:t>禁止在地质灾害危险区开采矿产资源。</w:t>
            </w:r>
          </w:p>
          <w:p>
            <w:pPr>
              <w:pStyle w:val="12"/>
              <w:numPr>
                <w:ilvl w:val="0"/>
                <w:numId w:val="3"/>
              </w:numPr>
              <w:tabs>
                <w:tab w:val="left" w:pos="263"/>
              </w:tabs>
              <w:spacing w:line="236" w:lineRule="exact"/>
              <w:ind w:left="263"/>
              <w:rPr>
                <w:sz w:val="21"/>
              </w:rPr>
            </w:pPr>
            <w:r>
              <w:rPr>
                <w:spacing w:val="-3"/>
                <w:sz w:val="21"/>
              </w:rPr>
              <w:t>禁止土法采、选冶金矿和土法冶炼汞、砷、铅、锌、焦、硫、钒等矿产资源开发活动。</w:t>
            </w:r>
          </w:p>
          <w:p>
            <w:pPr>
              <w:pStyle w:val="12"/>
              <w:numPr>
                <w:ilvl w:val="0"/>
                <w:numId w:val="3"/>
              </w:numPr>
              <w:tabs>
                <w:tab w:val="left" w:pos="263"/>
              </w:tabs>
              <w:spacing w:line="236" w:lineRule="exact"/>
              <w:ind w:left="263"/>
              <w:rPr>
                <w:sz w:val="21"/>
              </w:rPr>
            </w:pPr>
            <w:r>
              <w:rPr>
                <w:spacing w:val="-3"/>
                <w:sz w:val="21"/>
              </w:rPr>
              <w:t>禁止新建对生态环境产生不可恢复利用的、产生破坏性影响的矿产资源开发项目。</w:t>
            </w:r>
          </w:p>
          <w:p>
            <w:pPr>
              <w:pStyle w:val="12"/>
              <w:numPr>
                <w:ilvl w:val="0"/>
                <w:numId w:val="3"/>
              </w:numPr>
              <w:tabs>
                <w:tab w:val="left" w:pos="263"/>
              </w:tabs>
              <w:spacing w:line="218" w:lineRule="exact"/>
              <w:ind w:left="263"/>
              <w:rPr>
                <w:sz w:val="21"/>
              </w:rPr>
            </w:pPr>
            <w:r>
              <w:rPr>
                <w:spacing w:val="-8"/>
                <w:sz w:val="21"/>
              </w:rPr>
              <w:t xml:space="preserve">禁止新建煤层含硫量大于 </w:t>
            </w:r>
            <w:r>
              <w:rPr>
                <w:rFonts w:ascii="Times New Roman" w:eastAsia="Times New Roman"/>
                <w:sz w:val="21"/>
              </w:rPr>
              <w:t>3%</w:t>
            </w:r>
            <w:r>
              <w:rPr>
                <w:spacing w:val="-2"/>
                <w:sz w:val="21"/>
              </w:rPr>
              <w:t>的煤矿。</w:t>
            </w:r>
          </w:p>
        </w:tc>
        <w:tc>
          <w:tcPr>
            <w:tcW w:w="2693"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704" w:type="dxa"/>
            <w:vMerge w:val="continue"/>
            <w:tcBorders>
              <w:top w:val="nil"/>
              <w:left w:val="single" w:color="000000" w:sz="2" w:space="0"/>
              <w:bottom w:val="single" w:color="000000" w:sz="2" w:space="0"/>
            </w:tcBorders>
          </w:tcPr>
          <w:p>
            <w:pPr>
              <w:rPr>
                <w:sz w:val="2"/>
                <w:szCs w:val="2"/>
              </w:rPr>
            </w:pPr>
          </w:p>
        </w:tc>
        <w:tc>
          <w:tcPr>
            <w:tcW w:w="683" w:type="dxa"/>
            <w:vMerge w:val="continue"/>
            <w:tcBorders>
              <w:top w:val="nil"/>
              <w:bottom w:val="single" w:color="000000" w:sz="2" w:space="0"/>
            </w:tcBorders>
          </w:tcPr>
          <w:p>
            <w:pPr>
              <w:rPr>
                <w:sz w:val="2"/>
                <w:szCs w:val="2"/>
              </w:rPr>
            </w:pPr>
          </w:p>
        </w:tc>
        <w:tc>
          <w:tcPr>
            <w:tcW w:w="1164" w:type="dxa"/>
          </w:tcPr>
          <w:p>
            <w:pPr>
              <w:pStyle w:val="12"/>
              <w:spacing w:before="3" w:line="236" w:lineRule="exact"/>
              <w:ind w:left="103" w:right="205"/>
              <w:jc w:val="both"/>
              <w:rPr>
                <w:sz w:val="21"/>
              </w:rPr>
            </w:pPr>
            <w:r>
              <w:rPr>
                <w:sz w:val="21"/>
              </w:rPr>
              <w:t>限制开发建设活动的要求</w:t>
            </w:r>
          </w:p>
        </w:tc>
        <w:tc>
          <w:tcPr>
            <w:tcW w:w="16110" w:type="dxa"/>
            <w:tcBorders>
              <w:right w:val="single" w:color="000000" w:sz="2" w:space="0"/>
            </w:tcBorders>
          </w:tcPr>
          <w:p>
            <w:pPr>
              <w:pStyle w:val="12"/>
              <w:spacing w:before="12"/>
              <w:rPr>
                <w:b/>
                <w:sz w:val="16"/>
              </w:rPr>
            </w:pPr>
          </w:p>
          <w:p>
            <w:pPr>
              <w:pStyle w:val="12"/>
              <w:ind w:left="103"/>
              <w:rPr>
                <w:sz w:val="21"/>
              </w:rPr>
            </w:pPr>
            <w:r>
              <w:rPr>
                <w:sz w:val="21"/>
              </w:rPr>
              <w:t>限制在地质灾害易发区、水土流失严重区域等生态脆弱区内开采矿产资源。</w:t>
            </w:r>
          </w:p>
        </w:tc>
        <w:tc>
          <w:tcPr>
            <w:tcW w:w="2693"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44" w:type="dxa"/>
            <w:vMerge w:val="continue"/>
            <w:tcBorders>
              <w:top w:val="nil"/>
              <w:left w:val="single" w:color="000000" w:sz="2" w:space="0"/>
              <w:bottom w:val="single" w:color="000000" w:sz="2" w:space="0"/>
              <w:right w:val="single" w:color="000000" w:sz="2" w:space="0"/>
            </w:tcBorders>
          </w:tcPr>
          <w:p>
            <w:pPr>
              <w:rPr>
                <w:sz w:val="2"/>
                <w:szCs w:val="2"/>
              </w:rPr>
            </w:pPr>
          </w:p>
        </w:tc>
        <w:tc>
          <w:tcPr>
            <w:tcW w:w="704" w:type="dxa"/>
            <w:vMerge w:val="continue"/>
            <w:tcBorders>
              <w:top w:val="nil"/>
              <w:left w:val="single" w:color="000000" w:sz="2" w:space="0"/>
              <w:bottom w:val="single" w:color="000000" w:sz="2" w:space="0"/>
            </w:tcBorders>
          </w:tcPr>
          <w:p>
            <w:pPr>
              <w:rPr>
                <w:sz w:val="2"/>
                <w:szCs w:val="2"/>
              </w:rPr>
            </w:pPr>
          </w:p>
        </w:tc>
        <w:tc>
          <w:tcPr>
            <w:tcW w:w="683" w:type="dxa"/>
            <w:tcBorders>
              <w:top w:val="single" w:color="000000" w:sz="2" w:space="0"/>
              <w:bottom w:val="single" w:color="000000" w:sz="2" w:space="0"/>
            </w:tcBorders>
          </w:tcPr>
          <w:p>
            <w:pPr>
              <w:pStyle w:val="12"/>
              <w:spacing w:before="6" w:line="208" w:lineRule="auto"/>
              <w:ind w:left="140" w:right="109"/>
              <w:jc w:val="both"/>
              <w:rPr>
                <w:sz w:val="21"/>
              </w:rPr>
            </w:pPr>
            <w:r>
              <w:rPr>
                <w:sz w:val="21"/>
              </w:rPr>
              <w:t>地方级管控要</w:t>
            </w:r>
          </w:p>
          <w:p>
            <w:pPr>
              <w:pStyle w:val="12"/>
              <w:spacing w:line="211" w:lineRule="exact"/>
              <w:ind w:left="140"/>
              <w:rPr>
                <w:sz w:val="21"/>
              </w:rPr>
            </w:pPr>
            <w:r>
              <w:rPr>
                <w:sz w:val="21"/>
              </w:rPr>
              <w:t>求</w:t>
            </w:r>
          </w:p>
        </w:tc>
        <w:tc>
          <w:tcPr>
            <w:tcW w:w="1164" w:type="dxa"/>
          </w:tcPr>
          <w:p>
            <w:pPr>
              <w:pStyle w:val="12"/>
              <w:spacing w:before="121" w:line="211" w:lineRule="auto"/>
              <w:ind w:left="103" w:right="205"/>
              <w:jc w:val="both"/>
              <w:rPr>
                <w:sz w:val="21"/>
              </w:rPr>
            </w:pPr>
            <w:r>
              <w:rPr>
                <w:sz w:val="21"/>
              </w:rPr>
              <w:t>禁止开发建设活动的要求</w:t>
            </w:r>
          </w:p>
        </w:tc>
        <w:tc>
          <w:tcPr>
            <w:tcW w:w="16110" w:type="dxa"/>
            <w:tcBorders>
              <w:bottom w:val="single" w:color="000000" w:sz="2" w:space="0"/>
              <w:right w:val="single" w:color="000000" w:sz="2" w:space="0"/>
            </w:tcBorders>
          </w:tcPr>
          <w:p>
            <w:pPr>
              <w:pStyle w:val="12"/>
              <w:numPr>
                <w:ilvl w:val="0"/>
                <w:numId w:val="4"/>
              </w:numPr>
              <w:tabs>
                <w:tab w:val="left" w:pos="263"/>
              </w:tabs>
              <w:spacing w:before="123" w:line="208" w:lineRule="auto"/>
              <w:ind w:right="147" w:firstLine="0"/>
              <w:rPr>
                <w:sz w:val="21"/>
              </w:rPr>
            </w:pPr>
            <w:r>
              <w:rPr>
                <w:spacing w:val="-3"/>
                <w:sz w:val="21"/>
              </w:rPr>
              <w:t>重点区域原则上禁止新建露天矿山建设项目。禁止在铁路、公路</w:t>
            </w:r>
            <w:r>
              <w:rPr>
                <w:rFonts w:ascii="Times New Roman" w:eastAsia="Times New Roman"/>
                <w:spacing w:val="-4"/>
                <w:sz w:val="21"/>
              </w:rPr>
              <w:t>(</w:t>
            </w:r>
            <w:r>
              <w:rPr>
                <w:spacing w:val="-3"/>
                <w:sz w:val="21"/>
              </w:rPr>
              <w:t>高速公路、国道、省道</w:t>
            </w:r>
            <w:r>
              <w:rPr>
                <w:rFonts w:ascii="Times New Roman" w:eastAsia="Times New Roman"/>
                <w:sz w:val="21"/>
              </w:rPr>
              <w:t>)</w:t>
            </w:r>
            <w:r>
              <w:rPr>
                <w:spacing w:val="-3"/>
                <w:sz w:val="21"/>
              </w:rPr>
              <w:t>两侧可视范围内等区域新建露天矿山建设项目。其他区域新建露天矿山建设项目， 也应严格执行生态环境保护、矿产资源规划和绿色矿山建设行业标准等要求。</w:t>
            </w:r>
          </w:p>
          <w:p>
            <w:pPr>
              <w:pStyle w:val="12"/>
              <w:numPr>
                <w:ilvl w:val="0"/>
                <w:numId w:val="4"/>
              </w:numPr>
              <w:tabs>
                <w:tab w:val="left" w:pos="263"/>
              </w:tabs>
              <w:spacing w:line="246" w:lineRule="exact"/>
              <w:ind w:left="263"/>
              <w:rPr>
                <w:sz w:val="21"/>
              </w:rPr>
            </w:pPr>
            <w:r>
              <w:rPr>
                <w:spacing w:val="-3"/>
                <w:sz w:val="21"/>
              </w:rPr>
              <w:t>禁止在重点区域、禁止开发区、生态环境敏感区新设置露天矿山，禁止新批准砂石土资源临时开采和来料加工企业</w:t>
            </w:r>
            <w:r>
              <w:rPr>
                <w:sz w:val="21"/>
              </w:rPr>
              <w:t>（</w:t>
            </w:r>
            <w:r>
              <w:rPr>
                <w:spacing w:val="-2"/>
                <w:sz w:val="21"/>
              </w:rPr>
              <w:t>场点</w:t>
            </w:r>
            <w:r>
              <w:rPr>
                <w:spacing w:val="-108"/>
                <w:sz w:val="21"/>
              </w:rPr>
              <w:t>）</w:t>
            </w:r>
            <w:r>
              <w:rPr>
                <w:spacing w:val="-4"/>
                <w:sz w:val="21"/>
              </w:rPr>
              <w:t>，从源头上抓好露天矿山的规范管理。</w:t>
            </w:r>
          </w:p>
        </w:tc>
        <w:tc>
          <w:tcPr>
            <w:tcW w:w="2693" w:type="dxa"/>
            <w:tcBorders>
              <w:top w:val="single" w:color="000000" w:sz="2" w:space="0"/>
              <w:left w:val="single" w:color="000000" w:sz="2" w:space="0"/>
              <w:bottom w:val="single" w:color="000000" w:sz="2" w:space="0"/>
              <w:right w:val="single" w:color="000000" w:sz="2" w:space="0"/>
            </w:tcBorders>
          </w:tcPr>
          <w:p>
            <w:pPr>
              <w:pStyle w:val="12"/>
              <w:rPr>
                <w:rFonts w:ascii="Times New Roman"/>
                <w:sz w:val="20"/>
              </w:rPr>
            </w:pPr>
          </w:p>
        </w:tc>
      </w:tr>
    </w:tbl>
    <w:p>
      <w:pPr>
        <w:rPr>
          <w:rFonts w:ascii="Times New Roman"/>
          <w:sz w:val="20"/>
        </w:rPr>
        <w:sectPr>
          <w:pgSz w:w="23760" w:h="16790" w:orient="landscape"/>
          <w:pgMar w:top="1080" w:right="660" w:bottom="1080" w:left="860" w:header="0" w:footer="894" w:gutter="0"/>
          <w:cols w:space="720" w:num="1"/>
        </w:sectPr>
      </w:pPr>
    </w:p>
    <w:p>
      <w:pPr>
        <w:pStyle w:val="11"/>
        <w:numPr>
          <w:ilvl w:val="1"/>
          <w:numId w:val="2"/>
        </w:numPr>
        <w:tabs>
          <w:tab w:val="left" w:pos="1216"/>
        </w:tabs>
        <w:spacing w:before="26"/>
        <w:rPr>
          <w:b/>
          <w:sz w:val="36"/>
        </w:rPr>
      </w:pPr>
      <w:bookmarkStart w:id="2" w:name="_TOC_250003"/>
      <w:bookmarkEnd w:id="2"/>
      <w:r>
        <w:rPr>
          <w:b/>
          <w:sz w:val="36"/>
        </w:rPr>
        <w:t>全省水环境总体管控要求</w:t>
      </w:r>
    </w:p>
    <w:p>
      <w:pPr>
        <w:pStyle w:val="2"/>
        <w:spacing w:before="7"/>
        <w:rPr>
          <w:b/>
          <w:sz w:val="38"/>
        </w:rPr>
      </w:pPr>
      <w:r>
        <w:br w:type="column"/>
      </w:r>
    </w:p>
    <w:p>
      <w:pPr>
        <w:pStyle w:val="9"/>
        <w:tabs>
          <w:tab w:val="left" w:pos="1542"/>
        </w:tabs>
        <w:spacing w:before="1"/>
        <w:ind w:left="580"/>
        <w:jc w:val="left"/>
      </w:pPr>
      <w:r>
        <w:t>表</w:t>
      </w:r>
      <w:r>
        <w:rPr>
          <w:spacing w:val="-60"/>
        </w:rPr>
        <w:t xml:space="preserve"> </w:t>
      </w:r>
      <w:r>
        <w:rPr>
          <w:rFonts w:ascii="Times New Roman" w:eastAsia="Times New Roman"/>
        </w:rPr>
        <w:t>1.2</w:t>
      </w:r>
      <w:r>
        <w:rPr>
          <w:rFonts w:ascii="Times New Roman" w:eastAsia="Times New Roman"/>
        </w:rPr>
        <w:tab/>
      </w:r>
      <w:r>
        <w:t>贵州省省级水环境普适性管控要求</w:t>
      </w:r>
    </w:p>
    <w:p>
      <w:pPr>
        <w:sectPr>
          <w:pgSz w:w="23760" w:h="16790" w:orient="landscape"/>
          <w:pgMar w:top="1060" w:right="660" w:bottom="1080" w:left="860" w:header="0" w:footer="894" w:gutter="0"/>
          <w:cols w:equalWidth="0" w:num="2">
            <w:col w:w="5229" w:space="3162"/>
            <w:col w:w="13849"/>
          </w:cols>
        </w:sectPr>
      </w:pPr>
    </w:p>
    <w:tbl>
      <w:tblPr>
        <w:tblStyle w:val="3"/>
        <w:tblW w:w="21094"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761"/>
        <w:gridCol w:w="415"/>
        <w:gridCol w:w="1869"/>
        <w:gridCol w:w="11723"/>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50" w:type="dxa"/>
          </w:tcPr>
          <w:p>
            <w:pPr>
              <w:pStyle w:val="12"/>
              <w:spacing w:before="46" w:line="252" w:lineRule="exact"/>
              <w:ind w:left="112"/>
              <w:rPr>
                <w:b/>
                <w:sz w:val="21"/>
              </w:rPr>
            </w:pPr>
            <w:r>
              <w:rPr>
                <w:b/>
                <w:sz w:val="21"/>
              </w:rPr>
              <w:t>分类</w:t>
            </w:r>
          </w:p>
        </w:tc>
        <w:tc>
          <w:tcPr>
            <w:tcW w:w="761" w:type="dxa"/>
          </w:tcPr>
          <w:p>
            <w:pPr>
              <w:pStyle w:val="12"/>
              <w:spacing w:before="46" w:line="252" w:lineRule="exact"/>
              <w:ind w:left="168"/>
              <w:rPr>
                <w:b/>
                <w:sz w:val="21"/>
              </w:rPr>
            </w:pPr>
            <w:r>
              <w:rPr>
                <w:b/>
                <w:sz w:val="21"/>
              </w:rPr>
              <w:t>属性</w:t>
            </w:r>
          </w:p>
        </w:tc>
        <w:tc>
          <w:tcPr>
            <w:tcW w:w="2284" w:type="dxa"/>
            <w:gridSpan w:val="2"/>
          </w:tcPr>
          <w:p>
            <w:pPr>
              <w:pStyle w:val="12"/>
              <w:spacing w:before="46" w:line="252" w:lineRule="exact"/>
              <w:ind w:left="911" w:right="905"/>
              <w:jc w:val="center"/>
              <w:rPr>
                <w:b/>
                <w:sz w:val="21"/>
              </w:rPr>
            </w:pPr>
            <w:r>
              <w:rPr>
                <w:b/>
                <w:sz w:val="21"/>
              </w:rPr>
              <w:t>管控</w:t>
            </w:r>
          </w:p>
        </w:tc>
        <w:tc>
          <w:tcPr>
            <w:tcW w:w="11723" w:type="dxa"/>
          </w:tcPr>
          <w:p>
            <w:pPr>
              <w:pStyle w:val="12"/>
              <w:spacing w:before="46" w:line="252" w:lineRule="exact"/>
              <w:ind w:left="5315" w:right="5308"/>
              <w:jc w:val="center"/>
              <w:rPr>
                <w:b/>
                <w:sz w:val="21"/>
              </w:rPr>
            </w:pPr>
            <w:r>
              <w:rPr>
                <w:b/>
                <w:sz w:val="21"/>
              </w:rPr>
              <w:t>管控和要求</w:t>
            </w:r>
          </w:p>
        </w:tc>
        <w:tc>
          <w:tcPr>
            <w:tcW w:w="5676" w:type="dxa"/>
          </w:tcPr>
          <w:p>
            <w:pPr>
              <w:pStyle w:val="12"/>
              <w:spacing w:before="46" w:line="252" w:lineRule="exact"/>
              <w:ind w:left="2188" w:right="2178"/>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650"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2" w:line="232" w:lineRule="auto"/>
              <w:ind w:left="107" w:right="112"/>
              <w:jc w:val="both"/>
              <w:rPr>
                <w:sz w:val="21"/>
              </w:rPr>
            </w:pPr>
            <w:r>
              <w:rPr>
                <w:sz w:val="21"/>
              </w:rPr>
              <w:t>优先保护区</w:t>
            </w:r>
          </w:p>
        </w:tc>
        <w:tc>
          <w:tcPr>
            <w:tcW w:w="761"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3"/>
              </w:rPr>
            </w:pPr>
          </w:p>
          <w:p>
            <w:pPr>
              <w:pStyle w:val="12"/>
              <w:spacing w:line="232" w:lineRule="auto"/>
              <w:ind w:left="108" w:right="223"/>
              <w:jc w:val="both"/>
              <w:rPr>
                <w:sz w:val="21"/>
              </w:rPr>
            </w:pPr>
            <w:r>
              <w:rPr>
                <w:sz w:val="21"/>
              </w:rPr>
              <w:t>集中式饮用水水源保护区</w:t>
            </w:r>
          </w:p>
        </w:tc>
        <w:tc>
          <w:tcPr>
            <w:tcW w:w="415"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3"/>
              </w:rPr>
            </w:pPr>
          </w:p>
          <w:p>
            <w:pPr>
              <w:pStyle w:val="12"/>
              <w:spacing w:line="232" w:lineRule="auto"/>
              <w:ind w:left="108" w:right="88"/>
              <w:jc w:val="both"/>
              <w:rPr>
                <w:sz w:val="21"/>
              </w:rPr>
            </w:pPr>
            <w:r>
              <w:rPr>
                <w:sz w:val="21"/>
              </w:rPr>
              <w:t>空间布局约束</w:t>
            </w:r>
          </w:p>
        </w:tc>
        <w:tc>
          <w:tcPr>
            <w:tcW w:w="1869"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4"/>
              </w:rPr>
            </w:pPr>
          </w:p>
          <w:p>
            <w:pPr>
              <w:pStyle w:val="12"/>
              <w:spacing w:line="230" w:lineRule="auto"/>
              <w:ind w:left="108" w:right="39"/>
              <w:rPr>
                <w:sz w:val="21"/>
              </w:rPr>
            </w:pPr>
            <w:r>
              <w:rPr>
                <w:sz w:val="21"/>
              </w:rPr>
              <w:t>禁止开发建设活动的要求</w:t>
            </w:r>
          </w:p>
        </w:tc>
        <w:tc>
          <w:tcPr>
            <w:tcW w:w="11723" w:type="dxa"/>
            <w:tcBorders>
              <w:bottom w:val="single" w:color="000000" w:sz="4" w:space="0"/>
            </w:tcBorders>
          </w:tcPr>
          <w:p>
            <w:pPr>
              <w:pStyle w:val="12"/>
              <w:spacing w:line="264" w:lineRule="exact"/>
              <w:ind w:left="109"/>
              <w:rPr>
                <w:sz w:val="21"/>
              </w:rPr>
            </w:pPr>
            <w:r>
              <w:rPr>
                <w:sz w:val="21"/>
              </w:rPr>
              <w:t>饮用水水源准保护区内禁止下列行为：</w:t>
            </w:r>
          </w:p>
          <w:p>
            <w:pPr>
              <w:pStyle w:val="12"/>
              <w:numPr>
                <w:ilvl w:val="0"/>
                <w:numId w:val="5"/>
              </w:numPr>
              <w:tabs>
                <w:tab w:val="left" w:pos="610"/>
              </w:tabs>
              <w:spacing w:line="260" w:lineRule="exact"/>
              <w:rPr>
                <w:sz w:val="21"/>
              </w:rPr>
            </w:pPr>
            <w:r>
              <w:rPr>
                <w:spacing w:val="-20"/>
                <w:sz w:val="21"/>
              </w:rPr>
              <w:t>擅自建设排污口；</w:t>
            </w:r>
          </w:p>
          <w:p>
            <w:pPr>
              <w:pStyle w:val="12"/>
              <w:numPr>
                <w:ilvl w:val="0"/>
                <w:numId w:val="5"/>
              </w:numPr>
              <w:tabs>
                <w:tab w:val="left" w:pos="610"/>
              </w:tabs>
              <w:spacing w:line="259" w:lineRule="exact"/>
              <w:rPr>
                <w:sz w:val="21"/>
              </w:rPr>
            </w:pPr>
            <w:r>
              <w:rPr>
                <w:spacing w:val="-20"/>
                <w:sz w:val="21"/>
              </w:rPr>
              <w:t>新建、扩建在严重污染水体清单内的建设项目；改建增加排污量的建设项目；</w:t>
            </w:r>
          </w:p>
          <w:p>
            <w:pPr>
              <w:pStyle w:val="12"/>
              <w:numPr>
                <w:ilvl w:val="0"/>
                <w:numId w:val="5"/>
              </w:numPr>
              <w:tabs>
                <w:tab w:val="left" w:pos="610"/>
              </w:tabs>
              <w:spacing w:line="260" w:lineRule="exact"/>
              <w:rPr>
                <w:sz w:val="21"/>
              </w:rPr>
            </w:pPr>
            <w:r>
              <w:rPr>
                <w:spacing w:val="-20"/>
                <w:sz w:val="21"/>
              </w:rPr>
              <w:t>破坏水源涵养林、护岸林等与水源保护相关植被的活动；</w:t>
            </w:r>
          </w:p>
          <w:p>
            <w:pPr>
              <w:pStyle w:val="12"/>
              <w:numPr>
                <w:ilvl w:val="0"/>
                <w:numId w:val="5"/>
              </w:numPr>
              <w:tabs>
                <w:tab w:val="left" w:pos="610"/>
              </w:tabs>
              <w:spacing w:line="260" w:lineRule="exact"/>
              <w:rPr>
                <w:sz w:val="21"/>
              </w:rPr>
            </w:pPr>
            <w:r>
              <w:rPr>
                <w:spacing w:val="-20"/>
                <w:sz w:val="21"/>
              </w:rPr>
              <w:t>使用农药，丢弃农药、农药包装物或者清洗施药器械；</w:t>
            </w:r>
          </w:p>
          <w:p>
            <w:pPr>
              <w:pStyle w:val="12"/>
              <w:numPr>
                <w:ilvl w:val="0"/>
                <w:numId w:val="5"/>
              </w:numPr>
              <w:tabs>
                <w:tab w:val="left" w:pos="610"/>
              </w:tabs>
              <w:spacing w:line="259" w:lineRule="exact"/>
              <w:rPr>
                <w:sz w:val="21"/>
              </w:rPr>
            </w:pPr>
            <w:r>
              <w:rPr>
                <w:spacing w:val="-20"/>
                <w:sz w:val="21"/>
              </w:rPr>
              <w:t>炸鱼、电鱼、毒鱼，用非法渔具捕鱼；</w:t>
            </w:r>
          </w:p>
          <w:p>
            <w:pPr>
              <w:pStyle w:val="12"/>
              <w:numPr>
                <w:ilvl w:val="0"/>
                <w:numId w:val="5"/>
              </w:numPr>
              <w:tabs>
                <w:tab w:val="left" w:pos="610"/>
              </w:tabs>
              <w:spacing w:line="260" w:lineRule="exact"/>
              <w:rPr>
                <w:sz w:val="21"/>
              </w:rPr>
            </w:pPr>
            <w:r>
              <w:rPr>
                <w:spacing w:val="-20"/>
                <w:sz w:val="21"/>
              </w:rPr>
              <w:t>生产、销售、使用含磷洗涤剂；</w:t>
            </w:r>
          </w:p>
          <w:p>
            <w:pPr>
              <w:pStyle w:val="12"/>
              <w:numPr>
                <w:ilvl w:val="0"/>
                <w:numId w:val="5"/>
              </w:numPr>
              <w:tabs>
                <w:tab w:val="left" w:pos="610"/>
              </w:tabs>
              <w:spacing w:line="260" w:lineRule="exact"/>
              <w:rPr>
                <w:sz w:val="21"/>
              </w:rPr>
            </w:pPr>
            <w:r>
              <w:rPr>
                <w:spacing w:val="-20"/>
                <w:sz w:val="21"/>
              </w:rPr>
              <w:t>从事网箱养殖、围栏养殖、投饵养殖、施肥养殖；</w:t>
            </w:r>
          </w:p>
          <w:p>
            <w:pPr>
              <w:pStyle w:val="12"/>
              <w:numPr>
                <w:ilvl w:val="0"/>
                <w:numId w:val="5"/>
              </w:numPr>
              <w:tabs>
                <w:tab w:val="left" w:pos="610"/>
              </w:tabs>
              <w:spacing w:line="235" w:lineRule="exact"/>
              <w:rPr>
                <w:sz w:val="21"/>
              </w:rPr>
            </w:pPr>
            <w:r>
              <w:rPr>
                <w:spacing w:val="-20"/>
                <w:sz w:val="21"/>
              </w:rPr>
              <w:t>其他破坏水环境的行为。</w:t>
            </w:r>
          </w:p>
        </w:tc>
        <w:tc>
          <w:tcPr>
            <w:tcW w:w="5676"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24"/>
              </w:rPr>
            </w:pPr>
          </w:p>
          <w:p>
            <w:pPr>
              <w:pStyle w:val="12"/>
              <w:ind w:left="109"/>
              <w:rPr>
                <w:sz w:val="21"/>
              </w:rPr>
            </w:pPr>
            <w:r>
              <w:rPr>
                <w:sz w:val="21"/>
              </w:rPr>
              <w:t>《贵州省水污染防治条例》（2018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64" w:lineRule="exact"/>
              <w:ind w:left="109"/>
              <w:rPr>
                <w:sz w:val="21"/>
              </w:rPr>
            </w:pPr>
            <w:r>
              <w:rPr>
                <w:sz w:val="21"/>
              </w:rPr>
              <w:t>饮用水水源二级保护区内除饮用水水源准保护区内禁止的行为外，还禁止下列行为：</w:t>
            </w:r>
          </w:p>
          <w:p>
            <w:pPr>
              <w:pStyle w:val="12"/>
              <w:numPr>
                <w:ilvl w:val="0"/>
                <w:numId w:val="6"/>
              </w:numPr>
              <w:tabs>
                <w:tab w:val="left" w:pos="610"/>
              </w:tabs>
              <w:spacing w:line="261" w:lineRule="exact"/>
              <w:rPr>
                <w:sz w:val="21"/>
              </w:rPr>
            </w:pPr>
            <w:r>
              <w:rPr>
                <w:spacing w:val="-17"/>
                <w:sz w:val="21"/>
              </w:rPr>
              <w:t>设置排污口;</w:t>
            </w:r>
          </w:p>
          <w:p>
            <w:pPr>
              <w:pStyle w:val="12"/>
              <w:numPr>
                <w:ilvl w:val="0"/>
                <w:numId w:val="6"/>
              </w:numPr>
              <w:tabs>
                <w:tab w:val="left" w:pos="610"/>
              </w:tabs>
              <w:spacing w:line="259" w:lineRule="exact"/>
              <w:rPr>
                <w:sz w:val="21"/>
              </w:rPr>
            </w:pPr>
            <w:r>
              <w:rPr>
                <w:spacing w:val="-19"/>
                <w:sz w:val="21"/>
              </w:rPr>
              <w:t>新建、改建、扩建有污染的建设项目;</w:t>
            </w:r>
          </w:p>
          <w:p>
            <w:pPr>
              <w:pStyle w:val="12"/>
              <w:numPr>
                <w:ilvl w:val="0"/>
                <w:numId w:val="6"/>
              </w:numPr>
              <w:tabs>
                <w:tab w:val="left" w:pos="610"/>
              </w:tabs>
              <w:spacing w:line="260" w:lineRule="exact"/>
              <w:rPr>
                <w:sz w:val="21"/>
              </w:rPr>
            </w:pPr>
            <w:r>
              <w:rPr>
                <w:spacing w:val="-20"/>
                <w:sz w:val="21"/>
              </w:rPr>
              <w:t>设置装卸垃圾、粪便、油渍和有毒物品的码头;</w:t>
            </w:r>
          </w:p>
          <w:p>
            <w:pPr>
              <w:pStyle w:val="12"/>
              <w:numPr>
                <w:ilvl w:val="0"/>
                <w:numId w:val="6"/>
              </w:numPr>
              <w:tabs>
                <w:tab w:val="left" w:pos="610"/>
              </w:tabs>
              <w:spacing w:line="260" w:lineRule="exact"/>
              <w:rPr>
                <w:sz w:val="21"/>
              </w:rPr>
            </w:pPr>
            <w:r>
              <w:rPr>
                <w:spacing w:val="-18"/>
                <w:sz w:val="21"/>
              </w:rPr>
              <w:t>葬坟、掩埋动物尸体;</w:t>
            </w:r>
          </w:p>
          <w:p>
            <w:pPr>
              <w:pStyle w:val="12"/>
              <w:numPr>
                <w:ilvl w:val="0"/>
                <w:numId w:val="6"/>
              </w:numPr>
              <w:tabs>
                <w:tab w:val="left" w:pos="610"/>
              </w:tabs>
              <w:spacing w:line="259" w:lineRule="exact"/>
              <w:rPr>
                <w:sz w:val="21"/>
              </w:rPr>
            </w:pPr>
            <w:r>
              <w:rPr>
                <w:spacing w:val="-16"/>
                <w:sz w:val="21"/>
              </w:rPr>
              <w:t>设置油库;</w:t>
            </w:r>
          </w:p>
          <w:p>
            <w:pPr>
              <w:pStyle w:val="12"/>
              <w:numPr>
                <w:ilvl w:val="0"/>
                <w:numId w:val="6"/>
              </w:numPr>
              <w:tabs>
                <w:tab w:val="left" w:pos="610"/>
              </w:tabs>
              <w:spacing w:line="260" w:lineRule="exact"/>
              <w:rPr>
                <w:sz w:val="21"/>
              </w:rPr>
            </w:pPr>
            <w:r>
              <w:rPr>
                <w:spacing w:val="-19"/>
                <w:sz w:val="21"/>
              </w:rPr>
              <w:t>经营有污染物排放的餐饮、住宿和娱乐场所;</w:t>
            </w:r>
          </w:p>
          <w:p>
            <w:pPr>
              <w:pStyle w:val="12"/>
              <w:numPr>
                <w:ilvl w:val="0"/>
                <w:numId w:val="6"/>
              </w:numPr>
              <w:tabs>
                <w:tab w:val="left" w:pos="610"/>
              </w:tabs>
              <w:spacing w:line="260" w:lineRule="exact"/>
              <w:rPr>
                <w:sz w:val="21"/>
              </w:rPr>
            </w:pPr>
            <w:r>
              <w:rPr>
                <w:spacing w:val="-20"/>
                <w:sz w:val="21"/>
              </w:rPr>
              <w:t>修建规模化畜禽养殖场；</w:t>
            </w:r>
          </w:p>
          <w:p>
            <w:pPr>
              <w:pStyle w:val="12"/>
              <w:numPr>
                <w:ilvl w:val="0"/>
                <w:numId w:val="6"/>
              </w:numPr>
              <w:tabs>
                <w:tab w:val="left" w:pos="610"/>
              </w:tabs>
              <w:spacing w:line="259" w:lineRule="exact"/>
              <w:rPr>
                <w:sz w:val="21"/>
              </w:rPr>
            </w:pPr>
            <w:r>
              <w:rPr>
                <w:spacing w:val="-19"/>
                <w:sz w:val="21"/>
              </w:rPr>
              <w:t>建设产生污染的建筑物、构筑物;</w:t>
            </w:r>
          </w:p>
          <w:p>
            <w:pPr>
              <w:pStyle w:val="12"/>
              <w:numPr>
                <w:ilvl w:val="0"/>
                <w:numId w:val="6"/>
              </w:numPr>
              <w:tabs>
                <w:tab w:val="left" w:pos="610"/>
              </w:tabs>
              <w:spacing w:line="238" w:lineRule="exact"/>
              <w:rPr>
                <w:sz w:val="21"/>
              </w:rPr>
            </w:pPr>
            <w:r>
              <w:rPr>
                <w:spacing w:val="-20"/>
                <w:sz w:val="21"/>
              </w:rPr>
              <w:t>采矿。</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63" w:lineRule="exact"/>
              <w:ind w:left="109"/>
              <w:rPr>
                <w:sz w:val="21"/>
              </w:rPr>
            </w:pPr>
            <w:r>
              <w:rPr>
                <w:sz w:val="21"/>
              </w:rPr>
              <w:t>饮用水水源一级保护区内除饮用水水源准保护区、二级保护区内禁止行为外，还禁止下列行为：</w:t>
            </w:r>
          </w:p>
          <w:p>
            <w:pPr>
              <w:pStyle w:val="12"/>
              <w:numPr>
                <w:ilvl w:val="0"/>
                <w:numId w:val="7"/>
              </w:numPr>
              <w:tabs>
                <w:tab w:val="left" w:pos="610"/>
              </w:tabs>
              <w:spacing w:line="260" w:lineRule="exact"/>
              <w:rPr>
                <w:sz w:val="21"/>
              </w:rPr>
            </w:pPr>
            <w:r>
              <w:rPr>
                <w:spacing w:val="-20"/>
                <w:sz w:val="21"/>
              </w:rPr>
              <w:t>新建(改建、扩建)与供水设施和保护水源无关的建设项目;</w:t>
            </w:r>
          </w:p>
          <w:p>
            <w:pPr>
              <w:pStyle w:val="12"/>
              <w:numPr>
                <w:ilvl w:val="0"/>
                <w:numId w:val="7"/>
              </w:numPr>
              <w:tabs>
                <w:tab w:val="left" w:pos="610"/>
              </w:tabs>
              <w:spacing w:line="261" w:lineRule="exact"/>
              <w:rPr>
                <w:sz w:val="21"/>
              </w:rPr>
            </w:pPr>
            <w:r>
              <w:rPr>
                <w:spacing w:val="-19"/>
                <w:sz w:val="21"/>
              </w:rPr>
              <w:t>设置与供水无关的码头和停靠船舶;</w:t>
            </w:r>
          </w:p>
          <w:p>
            <w:pPr>
              <w:pStyle w:val="12"/>
              <w:numPr>
                <w:ilvl w:val="0"/>
                <w:numId w:val="7"/>
              </w:numPr>
              <w:tabs>
                <w:tab w:val="left" w:pos="610"/>
              </w:tabs>
              <w:spacing w:line="259" w:lineRule="exact"/>
              <w:rPr>
                <w:sz w:val="21"/>
              </w:rPr>
            </w:pPr>
            <w:r>
              <w:rPr>
                <w:spacing w:val="-20"/>
                <w:sz w:val="21"/>
              </w:rPr>
              <w:t>从事旅游、垂钓、捕捞、游泳、水上运动和其他可能污染水体的活动；</w:t>
            </w:r>
          </w:p>
          <w:p>
            <w:pPr>
              <w:pStyle w:val="12"/>
              <w:numPr>
                <w:ilvl w:val="0"/>
                <w:numId w:val="7"/>
              </w:numPr>
              <w:tabs>
                <w:tab w:val="left" w:pos="610"/>
              </w:tabs>
              <w:spacing w:line="238" w:lineRule="exact"/>
              <w:rPr>
                <w:sz w:val="21"/>
              </w:rPr>
            </w:pPr>
            <w:r>
              <w:rPr>
                <w:spacing w:val="-20"/>
                <w:sz w:val="21"/>
              </w:rPr>
              <w:t>法律、法规等禁止的其他行为。</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spacing w:before="1"/>
              <w:rPr>
                <w:b/>
                <w:sz w:val="24"/>
              </w:rPr>
            </w:pPr>
          </w:p>
          <w:p>
            <w:pPr>
              <w:pStyle w:val="12"/>
              <w:spacing w:line="230" w:lineRule="auto"/>
              <w:ind w:left="514" w:right="188" w:hanging="315"/>
              <w:rPr>
                <w:sz w:val="21"/>
              </w:rPr>
            </w:pPr>
            <w:r>
              <w:rPr>
                <w:sz w:val="21"/>
              </w:rPr>
              <w:t>限制开发建设活动的要求</w:t>
            </w:r>
          </w:p>
        </w:tc>
        <w:tc>
          <w:tcPr>
            <w:tcW w:w="11723" w:type="dxa"/>
            <w:tcBorders>
              <w:top w:val="single" w:color="000000" w:sz="4" w:space="0"/>
            </w:tcBorders>
          </w:tcPr>
          <w:p>
            <w:pPr>
              <w:pStyle w:val="12"/>
              <w:rPr>
                <w:b/>
                <w:sz w:val="15"/>
              </w:rPr>
            </w:pPr>
          </w:p>
          <w:p>
            <w:pPr>
              <w:pStyle w:val="12"/>
              <w:spacing w:before="1"/>
              <w:ind w:left="109"/>
              <w:rPr>
                <w:sz w:val="21"/>
              </w:rPr>
            </w:pPr>
            <w:r>
              <w:rPr>
                <w:sz w:val="21"/>
              </w:rPr>
              <w:t>1.禁止或者限制使用含磷洗涤剂、化肥、农药以及限制种植养殖。</w:t>
            </w:r>
          </w:p>
        </w:tc>
        <w:tc>
          <w:tcPr>
            <w:tcW w:w="5676" w:type="dxa"/>
          </w:tcPr>
          <w:p>
            <w:pPr>
              <w:pStyle w:val="12"/>
              <w:rPr>
                <w:b/>
                <w:sz w:val="15"/>
              </w:rPr>
            </w:pPr>
          </w:p>
          <w:p>
            <w:pPr>
              <w:pStyle w:val="12"/>
              <w:spacing w:before="1"/>
              <w:ind w:left="109"/>
              <w:rPr>
                <w:sz w:val="21"/>
              </w:rPr>
            </w:pPr>
            <w:r>
              <w:rPr>
                <w:spacing w:val="-27"/>
                <w:sz w:val="21"/>
              </w:rPr>
              <w:t>《中华人民共和国水污染防治法》</w:t>
            </w:r>
            <w:r>
              <w:rPr>
                <w:spacing w:val="-10"/>
                <w:sz w:val="21"/>
              </w:rPr>
              <w:t>（2017</w:t>
            </w:r>
            <w:r>
              <w:rPr>
                <w:spacing w:val="-19"/>
                <w:sz w:val="21"/>
              </w:rPr>
              <w:t xml:space="preserve"> 年</w:t>
            </w:r>
            <w:r>
              <w:rPr>
                <w:sz w:val="21"/>
              </w:rPr>
              <w:t>6</w:t>
            </w:r>
            <w:r>
              <w:rPr>
                <w:spacing w:val="-28"/>
                <w:sz w:val="21"/>
              </w:rPr>
              <w:t xml:space="preserve"> 月第二次修订</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Pr>
          <w:p>
            <w:pPr>
              <w:pStyle w:val="12"/>
              <w:numPr>
                <w:ilvl w:val="0"/>
                <w:numId w:val="8"/>
              </w:numPr>
              <w:tabs>
                <w:tab w:val="left" w:pos="322"/>
              </w:tabs>
              <w:spacing w:before="4" w:line="230" w:lineRule="auto"/>
              <w:ind w:right="94" w:firstLine="0"/>
              <w:jc w:val="both"/>
              <w:rPr>
                <w:sz w:val="21"/>
              </w:rPr>
            </w:pPr>
            <w:r>
              <w:rPr>
                <w:spacing w:val="-5"/>
                <w:sz w:val="21"/>
              </w:rPr>
              <w:t>严格控制在饮用水水源保护区和准保护区内的各种开发建设活动，确实需要且符合规划的开发建设项目，在环境影响评价文</w:t>
            </w:r>
            <w:r>
              <w:rPr>
                <w:spacing w:val="-7"/>
                <w:sz w:val="21"/>
              </w:rPr>
              <w:t>件报送审批前须征得饮用水水源责任政府同意，重要项目还应开展环境风险评估，黔中、夹岩等大型水利枢纽饮用水水源保护</w:t>
            </w:r>
            <w:r>
              <w:rPr>
                <w:spacing w:val="-5"/>
                <w:sz w:val="21"/>
              </w:rPr>
              <w:t>区和准保护区内的各种开发建设活动，须征得当地县政府以及省级水行政主管部门同意。</w:t>
            </w:r>
          </w:p>
          <w:p>
            <w:pPr>
              <w:pStyle w:val="12"/>
              <w:numPr>
                <w:ilvl w:val="0"/>
                <w:numId w:val="8"/>
              </w:numPr>
              <w:tabs>
                <w:tab w:val="left" w:pos="322"/>
              </w:tabs>
              <w:spacing w:before="5" w:line="230" w:lineRule="auto"/>
              <w:ind w:right="48" w:firstLine="0"/>
              <w:jc w:val="both"/>
              <w:rPr>
                <w:sz w:val="21"/>
              </w:rPr>
            </w:pPr>
            <w:r>
              <w:rPr>
                <w:spacing w:val="-3"/>
                <w:sz w:val="21"/>
              </w:rPr>
              <w:t>规划和建设公路、铁路等交通项目和输油、输气等管道项目，确需穿越保护区的报市</w:t>
            </w:r>
            <w:r>
              <w:rPr>
                <w:sz w:val="21"/>
              </w:rPr>
              <w:t>（</w:t>
            </w:r>
            <w:r>
              <w:rPr>
                <w:spacing w:val="-3"/>
                <w:sz w:val="21"/>
              </w:rPr>
              <w:t>州</w:t>
            </w:r>
            <w:r>
              <w:rPr>
                <w:sz w:val="21"/>
              </w:rPr>
              <w:t>）</w:t>
            </w:r>
            <w:r>
              <w:rPr>
                <w:spacing w:val="-3"/>
                <w:sz w:val="21"/>
              </w:rPr>
              <w:t>人民政府批准后报省政府备案， 并编制施工和营运期间的环境污染突发事故应急方案，严格按照方案建设环保应急设施，建设单位在项目环境保护“三同时” 自行验收时，应把应急设施建设情况作为重要验收内容。</w:t>
            </w:r>
          </w:p>
          <w:p>
            <w:pPr>
              <w:pStyle w:val="12"/>
              <w:numPr>
                <w:ilvl w:val="0"/>
                <w:numId w:val="8"/>
              </w:numPr>
              <w:tabs>
                <w:tab w:val="left" w:pos="322"/>
              </w:tabs>
              <w:spacing w:before="45" w:line="285" w:lineRule="auto"/>
              <w:ind w:right="96" w:firstLine="0"/>
              <w:rPr>
                <w:sz w:val="21"/>
              </w:rPr>
            </w:pPr>
            <w:r>
              <w:rPr>
                <w:spacing w:val="-6"/>
                <w:sz w:val="21"/>
              </w:rPr>
              <w:t>县级以上人民政府可以依法征用饮用水水源一级保护区内的土地，用于涵养饮用水水源，保护饮用水水质。鼓励和支持饮用</w:t>
            </w:r>
            <w:r>
              <w:rPr>
                <w:spacing w:val="-7"/>
                <w:sz w:val="21"/>
              </w:rPr>
              <w:t>水水源二级保护区内的公民、法人和其他组织易地发展，引导和扶持饮用水水源二级保护区、准保护区内发展无污染生产经营</w:t>
            </w:r>
          </w:p>
          <w:p>
            <w:pPr>
              <w:pStyle w:val="12"/>
              <w:spacing w:line="251" w:lineRule="exact"/>
              <w:ind w:left="109"/>
              <w:rPr>
                <w:sz w:val="21"/>
              </w:rPr>
            </w:pPr>
            <w:r>
              <w:rPr>
                <w:sz w:val="21"/>
              </w:rPr>
              <w:t>项目。</w:t>
            </w:r>
          </w:p>
        </w:tc>
        <w:tc>
          <w:tcPr>
            <w:tcW w:w="5676" w:type="dxa"/>
          </w:tcPr>
          <w:p>
            <w:pPr>
              <w:pStyle w:val="12"/>
              <w:rPr>
                <w:b/>
                <w:sz w:val="20"/>
              </w:rPr>
            </w:pPr>
          </w:p>
          <w:p>
            <w:pPr>
              <w:pStyle w:val="12"/>
              <w:rPr>
                <w:b/>
                <w:sz w:val="20"/>
              </w:rPr>
            </w:pPr>
          </w:p>
          <w:p>
            <w:pPr>
              <w:pStyle w:val="12"/>
              <w:rPr>
                <w:b/>
                <w:sz w:val="20"/>
              </w:rPr>
            </w:pPr>
          </w:p>
          <w:p>
            <w:pPr>
              <w:pStyle w:val="12"/>
              <w:spacing w:before="9"/>
              <w:rPr>
                <w:b/>
                <w:sz w:val="27"/>
              </w:rPr>
            </w:pPr>
          </w:p>
          <w:p>
            <w:pPr>
              <w:pStyle w:val="12"/>
              <w:ind w:left="109"/>
              <w:rPr>
                <w:sz w:val="21"/>
              </w:rPr>
            </w:pPr>
            <w:r>
              <w:rPr>
                <w:spacing w:val="-26"/>
                <w:sz w:val="21"/>
              </w:rPr>
              <w:t>《贵州省饮用水水源环境保护办法》</w:t>
            </w:r>
            <w:r>
              <w:rPr>
                <w:spacing w:val="-20"/>
                <w:sz w:val="21"/>
              </w:rPr>
              <w:t>（黔府发</w:t>
            </w:r>
            <w:r>
              <w:rPr>
                <w:spacing w:val="-9"/>
                <w:sz w:val="21"/>
              </w:rPr>
              <w:t>[2018]29</w:t>
            </w:r>
            <w:r>
              <w:rPr>
                <w:spacing w:val="-43"/>
                <w:sz w:val="21"/>
              </w:rPr>
              <w:t xml:space="preserve"> 号</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tcBorders>
              <w:bottom w:val="single" w:color="000000" w:sz="4" w:space="0"/>
            </w:tcBorders>
          </w:tcPr>
          <w:p>
            <w:pPr>
              <w:pStyle w:val="12"/>
              <w:spacing w:before="134" w:line="230" w:lineRule="auto"/>
              <w:ind w:left="305" w:right="188" w:hanging="106"/>
              <w:rPr>
                <w:sz w:val="21"/>
              </w:rPr>
            </w:pPr>
            <w:r>
              <w:rPr>
                <w:sz w:val="21"/>
              </w:rPr>
              <w:t>允许开发建设活动的特殊要求</w:t>
            </w:r>
          </w:p>
        </w:tc>
        <w:tc>
          <w:tcPr>
            <w:tcW w:w="11723" w:type="dxa"/>
          </w:tcPr>
          <w:p>
            <w:pPr>
              <w:pStyle w:val="12"/>
              <w:numPr>
                <w:ilvl w:val="0"/>
                <w:numId w:val="9"/>
              </w:numPr>
              <w:tabs>
                <w:tab w:val="left" w:pos="322"/>
              </w:tabs>
              <w:spacing w:line="260" w:lineRule="exact"/>
              <w:rPr>
                <w:sz w:val="21"/>
              </w:rPr>
            </w:pPr>
            <w:r>
              <w:rPr>
                <w:spacing w:val="-3"/>
                <w:sz w:val="21"/>
              </w:rPr>
              <w:t>在二级保护区内从事旅游等活动的，应按规定采取措施防止污染水体。</w:t>
            </w:r>
          </w:p>
          <w:p>
            <w:pPr>
              <w:pStyle w:val="12"/>
              <w:numPr>
                <w:ilvl w:val="0"/>
                <w:numId w:val="9"/>
              </w:numPr>
              <w:tabs>
                <w:tab w:val="left" w:pos="322"/>
              </w:tabs>
              <w:spacing w:line="259" w:lineRule="exact"/>
              <w:rPr>
                <w:sz w:val="21"/>
              </w:rPr>
            </w:pPr>
            <w:r>
              <w:rPr>
                <w:spacing w:val="-3"/>
                <w:sz w:val="21"/>
              </w:rPr>
              <w:t>二级保护区内：城镇生活垃圾全部集中收集并在保护区外进行无害化处置，生活垃圾转运站采取防渗漏措施。</w:t>
            </w:r>
          </w:p>
          <w:p>
            <w:pPr>
              <w:pStyle w:val="12"/>
              <w:numPr>
                <w:ilvl w:val="0"/>
                <w:numId w:val="9"/>
              </w:numPr>
              <w:tabs>
                <w:tab w:val="left" w:pos="322"/>
              </w:tabs>
              <w:spacing w:line="235" w:lineRule="exact"/>
              <w:rPr>
                <w:sz w:val="21"/>
              </w:rPr>
            </w:pPr>
            <w:r>
              <w:rPr>
                <w:spacing w:val="-3"/>
                <w:sz w:val="21"/>
              </w:rPr>
              <w:t>二级保护区内已有农业种植应当有序调整为生态有机农业，实施科学种植和污染防治。</w:t>
            </w:r>
          </w:p>
        </w:tc>
        <w:tc>
          <w:tcPr>
            <w:tcW w:w="5676" w:type="dxa"/>
          </w:tcPr>
          <w:p>
            <w:pPr>
              <w:pStyle w:val="12"/>
              <w:spacing w:before="11"/>
              <w:rPr>
                <w:b/>
                <w:sz w:val="19"/>
              </w:rPr>
            </w:pPr>
          </w:p>
          <w:p>
            <w:pPr>
              <w:pStyle w:val="12"/>
              <w:spacing w:before="1"/>
              <w:ind w:left="109"/>
              <w:rPr>
                <w:sz w:val="21"/>
              </w:rPr>
            </w:pPr>
            <w:r>
              <w:rPr>
                <w:spacing w:val="-26"/>
                <w:sz w:val="21"/>
              </w:rPr>
              <w:t>《贵州省饮用水水源环境保护办法》</w:t>
            </w:r>
            <w:r>
              <w:rPr>
                <w:spacing w:val="-20"/>
                <w:sz w:val="21"/>
              </w:rPr>
              <w:t>（黔府发</w:t>
            </w:r>
            <w:r>
              <w:rPr>
                <w:spacing w:val="-9"/>
                <w:sz w:val="21"/>
              </w:rPr>
              <w:t>[2018]29</w:t>
            </w:r>
            <w:r>
              <w:rPr>
                <w:spacing w:val="-43"/>
                <w:sz w:val="21"/>
              </w:rPr>
              <w:t xml:space="preserve"> 号</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spacing w:before="2"/>
              <w:rPr>
                <w:b/>
                <w:sz w:val="14"/>
              </w:rPr>
            </w:pPr>
          </w:p>
          <w:p>
            <w:pPr>
              <w:pStyle w:val="12"/>
              <w:spacing w:line="230" w:lineRule="auto"/>
              <w:ind w:left="199" w:right="188"/>
              <w:jc w:val="center"/>
              <w:rPr>
                <w:sz w:val="21"/>
              </w:rPr>
            </w:pPr>
            <w:r>
              <w:rPr>
                <w:sz w:val="21"/>
              </w:rPr>
              <w:t>不符合空间布局要求活动的退出要求</w:t>
            </w:r>
          </w:p>
        </w:tc>
        <w:tc>
          <w:tcPr>
            <w:tcW w:w="11723" w:type="dxa"/>
          </w:tcPr>
          <w:p>
            <w:pPr>
              <w:pStyle w:val="12"/>
              <w:numPr>
                <w:ilvl w:val="0"/>
                <w:numId w:val="10"/>
              </w:numPr>
              <w:tabs>
                <w:tab w:val="left" w:pos="322"/>
              </w:tabs>
              <w:spacing w:before="1" w:line="264" w:lineRule="exact"/>
              <w:rPr>
                <w:sz w:val="21"/>
              </w:rPr>
            </w:pPr>
            <w:r>
              <w:rPr>
                <w:spacing w:val="-3"/>
                <w:sz w:val="21"/>
              </w:rPr>
              <w:t>全面关闭或拆除一级保护区内已建成的与供水设施和保护水源无关的建设项目。</w:t>
            </w:r>
          </w:p>
          <w:p>
            <w:pPr>
              <w:pStyle w:val="12"/>
              <w:numPr>
                <w:ilvl w:val="0"/>
                <w:numId w:val="10"/>
              </w:numPr>
              <w:tabs>
                <w:tab w:val="left" w:pos="322"/>
              </w:tabs>
              <w:spacing w:line="235" w:lineRule="exact"/>
              <w:rPr>
                <w:sz w:val="21"/>
              </w:rPr>
            </w:pPr>
            <w:r>
              <w:rPr>
                <w:spacing w:val="-3"/>
                <w:sz w:val="21"/>
              </w:rPr>
              <w:t>全面取缔规模化畜禽养殖场、网箱养殖、水上餐饮、钓鱼棚和旅游等设施，加快退出农业开垦种植，实施退耕还林还草。</w:t>
            </w:r>
          </w:p>
        </w:tc>
        <w:tc>
          <w:tcPr>
            <w:tcW w:w="5676" w:type="dxa"/>
          </w:tcPr>
          <w:p>
            <w:pPr>
              <w:pStyle w:val="12"/>
              <w:spacing w:before="130"/>
              <w:ind w:left="109"/>
              <w:rPr>
                <w:sz w:val="21"/>
              </w:rPr>
            </w:pPr>
            <w:r>
              <w:rPr>
                <w:spacing w:val="-27"/>
                <w:sz w:val="21"/>
              </w:rPr>
              <w:t>《中华人民共和国水污染防治法》</w:t>
            </w:r>
            <w:r>
              <w:rPr>
                <w:spacing w:val="-10"/>
                <w:sz w:val="21"/>
              </w:rPr>
              <w:t>（2017</w:t>
            </w:r>
            <w:r>
              <w:rPr>
                <w:spacing w:val="-19"/>
                <w:sz w:val="21"/>
              </w:rPr>
              <w:t xml:space="preserve"> 年</w:t>
            </w:r>
            <w:r>
              <w:rPr>
                <w:sz w:val="21"/>
              </w:rPr>
              <w:t>6</w:t>
            </w:r>
            <w:r>
              <w:rPr>
                <w:spacing w:val="-28"/>
                <w:sz w:val="21"/>
              </w:rPr>
              <w:t xml:space="preserve"> 月第二次修订</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Pr>
          <w:p>
            <w:pPr>
              <w:pStyle w:val="12"/>
              <w:spacing w:before="7"/>
              <w:rPr>
                <w:b/>
                <w:sz w:val="19"/>
              </w:rPr>
            </w:pPr>
          </w:p>
          <w:p>
            <w:pPr>
              <w:pStyle w:val="12"/>
              <w:numPr>
                <w:ilvl w:val="0"/>
                <w:numId w:val="11"/>
              </w:numPr>
              <w:tabs>
                <w:tab w:val="left" w:pos="322"/>
              </w:tabs>
              <w:spacing w:line="264" w:lineRule="exact"/>
              <w:ind w:right="-15"/>
              <w:rPr>
                <w:sz w:val="21"/>
              </w:rPr>
            </w:pPr>
            <w:r>
              <w:rPr>
                <w:spacing w:val="-12"/>
                <w:sz w:val="21"/>
              </w:rPr>
              <w:t>全面拆除一、二级保护区内已关闭的工业企业，整治二级保护区内点源污染，禁止新建、改建和扩建排放污染物的建设项目。</w:t>
            </w:r>
          </w:p>
          <w:p>
            <w:pPr>
              <w:pStyle w:val="12"/>
              <w:numPr>
                <w:ilvl w:val="0"/>
                <w:numId w:val="11"/>
              </w:numPr>
              <w:tabs>
                <w:tab w:val="left" w:pos="322"/>
              </w:tabs>
              <w:spacing w:line="260" w:lineRule="exact"/>
              <w:rPr>
                <w:sz w:val="21"/>
              </w:rPr>
            </w:pPr>
            <w:r>
              <w:rPr>
                <w:spacing w:val="-3"/>
                <w:sz w:val="21"/>
              </w:rPr>
              <w:t>关闭二级保护区内工业和生活排污口，二级保护区内的城镇生活污水经收集处理后通过越域到保护区外或保护区下游排放。</w:t>
            </w:r>
          </w:p>
          <w:p>
            <w:pPr>
              <w:pStyle w:val="12"/>
              <w:numPr>
                <w:ilvl w:val="0"/>
                <w:numId w:val="11"/>
              </w:numPr>
              <w:tabs>
                <w:tab w:val="left" w:pos="322"/>
              </w:tabs>
              <w:spacing w:line="265" w:lineRule="exact"/>
              <w:rPr>
                <w:sz w:val="21"/>
              </w:rPr>
            </w:pPr>
            <w:r>
              <w:rPr>
                <w:spacing w:val="-3"/>
                <w:sz w:val="21"/>
              </w:rPr>
              <w:t>保护区划定前已有的对水体污染严重的建设项目不得增加排污量并逐步退出。</w:t>
            </w:r>
          </w:p>
        </w:tc>
        <w:tc>
          <w:tcPr>
            <w:tcW w:w="5676" w:type="dxa"/>
          </w:tcPr>
          <w:p>
            <w:pPr>
              <w:pStyle w:val="12"/>
              <w:rPr>
                <w:b/>
                <w:sz w:val="20"/>
              </w:rPr>
            </w:pPr>
          </w:p>
          <w:p>
            <w:pPr>
              <w:pStyle w:val="12"/>
              <w:spacing w:before="11"/>
              <w:rPr>
                <w:b/>
              </w:rPr>
            </w:pPr>
          </w:p>
          <w:p>
            <w:pPr>
              <w:pStyle w:val="12"/>
              <w:spacing w:line="230" w:lineRule="auto"/>
              <w:ind w:left="109" w:right="80"/>
              <w:rPr>
                <w:sz w:val="21"/>
              </w:rPr>
            </w:pPr>
            <w:r>
              <w:rPr>
                <w:spacing w:val="-10"/>
                <w:sz w:val="21"/>
              </w:rPr>
              <w:t>《贵州省进一步加强城乡集中式饮用水水源地保护管理工作方</w:t>
            </w:r>
            <w:r>
              <w:rPr>
                <w:spacing w:val="-20"/>
                <w:sz w:val="21"/>
              </w:rPr>
              <w:t>案》黔府办发〔</w:t>
            </w:r>
            <w:r>
              <w:rPr>
                <w:spacing w:val="-10"/>
                <w:sz w:val="21"/>
              </w:rPr>
              <w:t>2017</w:t>
            </w:r>
            <w:r>
              <w:rPr>
                <w:spacing w:val="-20"/>
                <w:sz w:val="21"/>
              </w:rPr>
              <w:t>〕</w:t>
            </w:r>
            <w:r>
              <w:rPr>
                <w:spacing w:val="-5"/>
                <w:sz w:val="21"/>
              </w:rPr>
              <w:t>20</w:t>
            </w:r>
            <w:r>
              <w:rPr>
                <w:spacing w:val="-34"/>
                <w:sz w:val="21"/>
              </w:rPr>
              <w:t xml:space="preserve">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bottom w:val="single" w:color="000000" w:sz="4" w:space="0"/>
            </w:tcBorders>
          </w:tcPr>
          <w:p>
            <w:pPr>
              <w:pStyle w:val="12"/>
              <w:spacing w:before="149"/>
              <w:ind w:left="109"/>
              <w:rPr>
                <w:sz w:val="21"/>
              </w:rPr>
            </w:pPr>
            <w:r>
              <w:rPr>
                <w:sz w:val="21"/>
              </w:rPr>
              <w:t>6.一级保护区划定前已有的农业种植和经济林，严格控制化肥，农药等非点源污染，并逐步退出。</w:t>
            </w:r>
          </w:p>
        </w:tc>
        <w:tc>
          <w:tcPr>
            <w:tcW w:w="5676" w:type="dxa"/>
            <w:tcBorders>
              <w:bottom w:val="single" w:color="000000" w:sz="4" w:space="0"/>
            </w:tcBorders>
          </w:tcPr>
          <w:p>
            <w:pPr>
              <w:pStyle w:val="12"/>
              <w:spacing w:before="3" w:line="264" w:lineRule="exact"/>
              <w:ind w:left="109" w:right="-15"/>
              <w:rPr>
                <w:sz w:val="21"/>
              </w:rPr>
            </w:pPr>
            <w:r>
              <w:rPr>
                <w:spacing w:val="21"/>
                <w:sz w:val="21"/>
              </w:rPr>
              <w:t>《</w:t>
            </w:r>
            <w:r>
              <w:fldChar w:fldCharType="begin"/>
            </w:r>
            <w:r>
              <w:instrText xml:space="preserve"> HYPERLINK "http://www.baidu.com/link?url=m20gBwr7PWIt2sx50eP7WL_o5DbArNm72WyLEd84klXFTXTy5Z5yvbChRgeZmv1khSX1xBviMjmHtcxhvaSAH7CH0iHADHtefcpxrz3j-2GM8rkDwzL8wp2Iy1ZRamAm" </w:instrText>
            </w:r>
            <w:r>
              <w:fldChar w:fldCharType="separate"/>
            </w:r>
            <w:r>
              <w:rPr>
                <w:spacing w:val="21"/>
                <w:sz w:val="21"/>
              </w:rPr>
              <w:t>集中式饮用水水源地规范化建设环境保护技术要求</w:t>
            </w:r>
            <w:r>
              <w:rPr>
                <w:spacing w:val="21"/>
                <w:sz w:val="21"/>
              </w:rPr>
              <w:fldChar w:fldCharType="end"/>
            </w:r>
            <w:r>
              <w:rPr>
                <w:sz w:val="21"/>
              </w:rPr>
              <w:t>》</w:t>
            </w:r>
          </w:p>
          <w:p>
            <w:pPr>
              <w:pStyle w:val="12"/>
              <w:spacing w:line="235" w:lineRule="exact"/>
              <w:ind w:left="109"/>
              <w:rPr>
                <w:sz w:val="21"/>
              </w:rPr>
            </w:pPr>
            <w:r>
              <w:rPr>
                <w:sz w:val="21"/>
              </w:rPr>
              <w:t>（HJ773-2015）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0" w:type="dxa"/>
            <w:tcBorders>
              <w:top w:val="single" w:color="000000" w:sz="4" w:space="0"/>
            </w:tcBorders>
          </w:tcPr>
          <w:p>
            <w:pPr>
              <w:pStyle w:val="12"/>
              <w:spacing w:before="75"/>
              <w:ind w:left="107"/>
              <w:rPr>
                <w:sz w:val="21"/>
              </w:rPr>
            </w:pPr>
            <w:r>
              <w:rPr>
                <w:sz w:val="21"/>
              </w:rPr>
              <w:t>优先</w:t>
            </w:r>
          </w:p>
        </w:tc>
        <w:tc>
          <w:tcPr>
            <w:tcW w:w="761" w:type="dxa"/>
            <w:tcBorders>
              <w:top w:val="single" w:color="000000" w:sz="4" w:space="0"/>
            </w:tcBorders>
          </w:tcPr>
          <w:p>
            <w:pPr>
              <w:pStyle w:val="12"/>
              <w:spacing w:before="75"/>
              <w:ind w:left="108"/>
              <w:rPr>
                <w:sz w:val="21"/>
              </w:rPr>
            </w:pPr>
            <w:r>
              <w:rPr>
                <w:sz w:val="21"/>
              </w:rPr>
              <w:t>集中</w:t>
            </w:r>
          </w:p>
        </w:tc>
        <w:tc>
          <w:tcPr>
            <w:tcW w:w="2284" w:type="dxa"/>
            <w:gridSpan w:val="2"/>
            <w:tcBorders>
              <w:top w:val="single" w:color="000000" w:sz="4" w:space="0"/>
            </w:tcBorders>
          </w:tcPr>
          <w:p>
            <w:pPr>
              <w:pStyle w:val="12"/>
              <w:spacing w:before="68"/>
              <w:ind w:left="514"/>
              <w:rPr>
                <w:sz w:val="21"/>
              </w:rPr>
            </w:pPr>
            <w:r>
              <w:rPr>
                <w:sz w:val="21"/>
              </w:rPr>
              <w:t>环境风险防范</w:t>
            </w:r>
          </w:p>
        </w:tc>
        <w:tc>
          <w:tcPr>
            <w:tcW w:w="11723" w:type="dxa"/>
            <w:tcBorders>
              <w:top w:val="single" w:color="000000" w:sz="4" w:space="0"/>
            </w:tcBorders>
          </w:tcPr>
          <w:p>
            <w:pPr>
              <w:pStyle w:val="12"/>
              <w:spacing w:before="68"/>
              <w:ind w:left="109"/>
              <w:rPr>
                <w:sz w:val="21"/>
              </w:rPr>
            </w:pPr>
            <w:r>
              <w:rPr>
                <w:sz w:val="21"/>
              </w:rPr>
              <w:t>1.对饮用水水源保护区内排放重金属等有毒有害污染物的企业，优先取缔关闭；对饮用水水源保护区受重金属污染的土壤，修</w:t>
            </w:r>
          </w:p>
        </w:tc>
        <w:tc>
          <w:tcPr>
            <w:tcW w:w="5676" w:type="dxa"/>
            <w:tcBorders>
              <w:top w:val="single" w:color="000000" w:sz="4" w:space="0"/>
            </w:tcBorders>
          </w:tcPr>
          <w:p>
            <w:pPr>
              <w:pStyle w:val="12"/>
              <w:rPr>
                <w:rFonts w:ascii="Times New Roman"/>
                <w:sz w:val="20"/>
              </w:rPr>
            </w:pPr>
          </w:p>
        </w:tc>
      </w:tr>
    </w:tbl>
    <w:p>
      <w:pPr>
        <w:rPr>
          <w:rFonts w:ascii="Times New Roman"/>
          <w:sz w:val="20"/>
        </w:rPr>
        <w:sectPr>
          <w:type w:val="continuous"/>
          <w:pgSz w:w="23760" w:h="16790" w:orient="landscape"/>
          <w:pgMar w:top="1600" w:right="660" w:bottom="1160" w:left="860" w:header="720" w:footer="720" w:gutter="0"/>
          <w:cols w:space="720" w:num="1"/>
        </w:sectPr>
      </w:pPr>
    </w:p>
    <w:tbl>
      <w:tblPr>
        <w:tblStyle w:val="3"/>
        <w:tblW w:w="21094"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761"/>
        <w:gridCol w:w="415"/>
        <w:gridCol w:w="1869"/>
        <w:gridCol w:w="11723"/>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tcPr>
          <w:p>
            <w:pPr>
              <w:pStyle w:val="12"/>
              <w:spacing w:before="49" w:line="252" w:lineRule="exact"/>
              <w:ind w:left="112"/>
              <w:rPr>
                <w:b/>
                <w:sz w:val="21"/>
              </w:rPr>
            </w:pPr>
            <w:r>
              <w:rPr>
                <w:b/>
                <w:sz w:val="21"/>
              </w:rPr>
              <w:t>分类</w:t>
            </w:r>
          </w:p>
        </w:tc>
        <w:tc>
          <w:tcPr>
            <w:tcW w:w="761" w:type="dxa"/>
          </w:tcPr>
          <w:p>
            <w:pPr>
              <w:pStyle w:val="12"/>
              <w:spacing w:before="49" w:line="252" w:lineRule="exact"/>
              <w:ind w:left="168"/>
              <w:rPr>
                <w:b/>
                <w:sz w:val="21"/>
              </w:rPr>
            </w:pPr>
            <w:r>
              <w:rPr>
                <w:b/>
                <w:sz w:val="21"/>
              </w:rPr>
              <w:t>属性</w:t>
            </w:r>
          </w:p>
        </w:tc>
        <w:tc>
          <w:tcPr>
            <w:tcW w:w="2284" w:type="dxa"/>
            <w:gridSpan w:val="2"/>
          </w:tcPr>
          <w:p>
            <w:pPr>
              <w:pStyle w:val="12"/>
              <w:spacing w:before="49" w:line="252" w:lineRule="exact"/>
              <w:ind w:left="911" w:right="905"/>
              <w:jc w:val="center"/>
              <w:rPr>
                <w:b/>
                <w:sz w:val="21"/>
              </w:rPr>
            </w:pPr>
            <w:r>
              <w:rPr>
                <w:b/>
                <w:sz w:val="21"/>
              </w:rPr>
              <w:t>管控</w:t>
            </w:r>
          </w:p>
        </w:tc>
        <w:tc>
          <w:tcPr>
            <w:tcW w:w="11723" w:type="dxa"/>
            <w:tcBorders>
              <w:bottom w:val="single" w:color="000000" w:sz="4" w:space="0"/>
            </w:tcBorders>
          </w:tcPr>
          <w:p>
            <w:pPr>
              <w:pStyle w:val="12"/>
              <w:spacing w:before="49" w:line="252" w:lineRule="exact"/>
              <w:ind w:left="5315" w:right="5308"/>
              <w:jc w:val="center"/>
              <w:rPr>
                <w:b/>
                <w:sz w:val="21"/>
              </w:rPr>
            </w:pPr>
            <w:r>
              <w:rPr>
                <w:b/>
                <w:sz w:val="21"/>
              </w:rPr>
              <w:t>管控和要求</w:t>
            </w:r>
          </w:p>
        </w:tc>
        <w:tc>
          <w:tcPr>
            <w:tcW w:w="5676" w:type="dxa"/>
            <w:tcBorders>
              <w:bottom w:val="single" w:color="000000" w:sz="4" w:space="0"/>
            </w:tcBorders>
          </w:tcPr>
          <w:p>
            <w:pPr>
              <w:pStyle w:val="12"/>
              <w:spacing w:before="49" w:line="252" w:lineRule="exact"/>
              <w:ind w:left="2188" w:right="2178"/>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50" w:type="dxa"/>
            <w:vMerge w:val="restart"/>
          </w:tcPr>
          <w:p>
            <w:pPr>
              <w:pStyle w:val="12"/>
              <w:spacing w:before="7" w:line="230" w:lineRule="auto"/>
              <w:ind w:left="107" w:right="112"/>
              <w:rPr>
                <w:sz w:val="21"/>
              </w:rPr>
            </w:pPr>
            <w:r>
              <w:rPr>
                <w:sz w:val="21"/>
              </w:rPr>
              <w:t>保护区</w:t>
            </w:r>
          </w:p>
        </w:tc>
        <w:tc>
          <w:tcPr>
            <w:tcW w:w="761" w:type="dxa"/>
            <w:vMerge w:val="restart"/>
          </w:tcPr>
          <w:p>
            <w:pPr>
              <w:pStyle w:val="12"/>
              <w:spacing w:before="5" w:line="232" w:lineRule="auto"/>
              <w:ind w:left="108" w:right="223"/>
              <w:jc w:val="both"/>
              <w:rPr>
                <w:sz w:val="21"/>
              </w:rPr>
            </w:pPr>
            <w:r>
              <w:rPr>
                <w:sz w:val="21"/>
              </w:rPr>
              <w:t>式饮用水水源保护区</w:t>
            </w:r>
          </w:p>
        </w:tc>
        <w:tc>
          <w:tcPr>
            <w:tcW w:w="2284" w:type="dxa"/>
            <w:gridSpan w:val="2"/>
            <w:vMerge w:val="restart"/>
          </w:tcPr>
          <w:p>
            <w:pPr>
              <w:pStyle w:val="12"/>
              <w:rPr>
                <w:rFonts w:ascii="Times New Roman"/>
                <w:sz w:val="20"/>
              </w:rPr>
            </w:pPr>
          </w:p>
        </w:tc>
        <w:tc>
          <w:tcPr>
            <w:tcW w:w="11723" w:type="dxa"/>
            <w:tcBorders>
              <w:top w:val="single" w:color="000000" w:sz="4" w:space="0"/>
            </w:tcBorders>
          </w:tcPr>
          <w:p>
            <w:pPr>
              <w:pStyle w:val="12"/>
              <w:spacing w:line="251" w:lineRule="exact"/>
              <w:ind w:left="109" w:right="-15"/>
              <w:rPr>
                <w:sz w:val="21"/>
              </w:rPr>
            </w:pPr>
            <w:r>
              <w:rPr>
                <w:spacing w:val="-11"/>
                <w:sz w:val="21"/>
              </w:rPr>
              <w:t>复处理以确保饮用水水源环境安全；对天然背景值超标、水厂无法处理的受重金属污染的水源，需尽快更换另行建设替代水源。</w:t>
            </w:r>
          </w:p>
        </w:tc>
        <w:tc>
          <w:tcPr>
            <w:tcW w:w="5676" w:type="dxa"/>
            <w:tcBorders>
              <w:top w:val="single" w:color="000000" w:sz="4" w:space="0"/>
              <w:bottom w:val="single" w:color="000000" w:sz="4" w:space="0"/>
            </w:tcBorders>
          </w:tcPr>
          <w:p>
            <w:pPr>
              <w:pStyle w:val="12"/>
              <w:spacing w:line="268" w:lineRule="exact"/>
              <w:ind w:left="109"/>
              <w:rPr>
                <w:sz w:val="21"/>
              </w:rPr>
            </w:pPr>
            <w:r>
              <w:fldChar w:fldCharType="begin"/>
            </w:r>
            <w:r>
              <w:instrText xml:space="preserve"> HYPERLINK "http://www.baidu.com/link?url=S71PQNG8xFF6m4EQyaT83gPXI2inECxfs0L6EVyAwSveDAfazBuaNNrWhdIAnQxi5Ud9afDWm6EcbbezLlPUgK" </w:instrText>
            </w:r>
            <w:r>
              <w:fldChar w:fldCharType="separate"/>
            </w:r>
            <w:r>
              <w:rPr>
                <w:sz w:val="21"/>
              </w:rPr>
              <w:t>《重点流域水污染防治规划(2016-2020 年)》</w:t>
            </w:r>
            <w:r>
              <w:rPr>
                <w:sz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70"/>
              <w:ind w:left="109"/>
              <w:rPr>
                <w:sz w:val="21"/>
              </w:rPr>
            </w:pPr>
            <w:r>
              <w:rPr>
                <w:sz w:val="21"/>
              </w:rPr>
              <w:t>2.强化对水源周边可能影响水源安全的制药、化工、造纸、采选、制革、印染、电镀、农药等重点行业企业的执法监管。</w:t>
            </w:r>
          </w:p>
        </w:tc>
        <w:tc>
          <w:tcPr>
            <w:tcW w:w="5676" w:type="dxa"/>
            <w:tcBorders>
              <w:top w:val="single" w:color="000000" w:sz="4" w:space="0"/>
              <w:bottom w:val="single" w:color="000000" w:sz="4" w:space="0"/>
            </w:tcBorders>
          </w:tcPr>
          <w:p>
            <w:pPr>
              <w:pStyle w:val="12"/>
              <w:spacing w:before="75"/>
              <w:ind w:left="109"/>
              <w:rPr>
                <w:sz w:val="21"/>
              </w:rPr>
            </w:pPr>
            <w:r>
              <w:rPr>
                <w:sz w:val="21"/>
              </w:rPr>
              <w:t>《长江经济带生态环境保护规划》（环规财[2017]88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2" w:line="240" w:lineRule="exact"/>
              <w:ind w:left="109" w:right="94"/>
              <w:jc w:val="both"/>
              <w:rPr>
                <w:sz w:val="21"/>
              </w:rPr>
            </w:pPr>
            <w:r>
              <w:rPr>
                <w:sz w:val="21"/>
              </w:rPr>
              <w:t>3.</w:t>
            </w:r>
            <w:r>
              <w:rPr>
                <w:spacing w:val="-7"/>
                <w:sz w:val="21"/>
              </w:rPr>
              <w:t>健全保护区内危险化学品运输管理制度。保护区内有道路、桥梁穿越的，危险化学品运输采取限制运载重量和物资种类、限</w:t>
            </w:r>
            <w:r>
              <w:rPr>
                <w:spacing w:val="-9"/>
                <w:sz w:val="21"/>
              </w:rPr>
              <w:t>定行驶线路等管理措施，并完善应急处置设施。保护区内运输危险化学品车辆及其他穿越保护区的流动源，利用全球定位系统</w:t>
            </w:r>
            <w:r>
              <w:rPr>
                <w:spacing w:val="-5"/>
                <w:sz w:val="21"/>
              </w:rPr>
              <w:t>等设备实时监控。</w:t>
            </w:r>
          </w:p>
        </w:tc>
        <w:tc>
          <w:tcPr>
            <w:tcW w:w="5676" w:type="dxa"/>
            <w:tcBorders>
              <w:top w:val="single" w:color="000000" w:sz="4" w:space="0"/>
              <w:bottom w:val="single" w:color="000000" w:sz="4" w:space="0"/>
            </w:tcBorders>
          </w:tcPr>
          <w:p>
            <w:pPr>
              <w:pStyle w:val="12"/>
              <w:spacing w:before="102" w:line="264" w:lineRule="exact"/>
              <w:ind w:left="109" w:right="-15"/>
              <w:rPr>
                <w:sz w:val="21"/>
              </w:rPr>
            </w:pPr>
            <w:r>
              <w:rPr>
                <w:spacing w:val="21"/>
                <w:sz w:val="21"/>
              </w:rPr>
              <w:t>《</w:t>
            </w:r>
            <w:r>
              <w:fldChar w:fldCharType="begin"/>
            </w:r>
            <w:r>
              <w:instrText xml:space="preserve"> HYPERLINK "http://www.baidu.com/link?url=m20gBwr7PWIt2sx50eP7WL_o5DbArNm72WyLEd84klXFTXTy5Z5yvbChRgeZmv1khSX1xBviMjmHtcxhvaSAH7CH0iHADHtefcpxrz3j-2GM8rkDwzL8wp2Iy1ZRamAm" </w:instrText>
            </w:r>
            <w:r>
              <w:fldChar w:fldCharType="separate"/>
            </w:r>
            <w:r>
              <w:rPr>
                <w:spacing w:val="21"/>
                <w:sz w:val="21"/>
              </w:rPr>
              <w:t>集中式饮用水水源地规范化建设环境保护技术要求</w:t>
            </w:r>
            <w:r>
              <w:rPr>
                <w:spacing w:val="21"/>
                <w:sz w:val="21"/>
              </w:rPr>
              <w:fldChar w:fldCharType="end"/>
            </w:r>
            <w:r>
              <w:rPr>
                <w:sz w:val="21"/>
              </w:rPr>
              <w:t>》</w:t>
            </w:r>
          </w:p>
          <w:p>
            <w:pPr>
              <w:pStyle w:val="12"/>
              <w:spacing w:line="264" w:lineRule="exact"/>
              <w:ind w:left="109"/>
              <w:rPr>
                <w:sz w:val="21"/>
              </w:rPr>
            </w:pPr>
            <w:r>
              <w:rPr>
                <w:sz w:val="21"/>
              </w:rPr>
              <w:t>（HJ773-2015）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68"/>
              <w:ind w:left="109"/>
              <w:rPr>
                <w:sz w:val="21"/>
              </w:rPr>
            </w:pPr>
            <w:r>
              <w:rPr>
                <w:sz w:val="21"/>
              </w:rPr>
              <w:t>4.完善全省县城以上集中式饮用水水源地环境保护设施，全面建立应急机制；一级保护区内违章建筑全部拆除。</w:t>
            </w:r>
          </w:p>
        </w:tc>
        <w:tc>
          <w:tcPr>
            <w:tcW w:w="5676" w:type="dxa"/>
            <w:vMerge w:val="restart"/>
            <w:tcBorders>
              <w:top w:val="single" w:color="000000" w:sz="4" w:space="0"/>
            </w:tcBorders>
          </w:tcPr>
          <w:p>
            <w:pPr>
              <w:pStyle w:val="12"/>
              <w:spacing w:before="6"/>
              <w:rPr>
                <w:b/>
                <w:sz w:val="21"/>
              </w:rPr>
            </w:pPr>
          </w:p>
          <w:p>
            <w:pPr>
              <w:pStyle w:val="12"/>
              <w:spacing w:line="230" w:lineRule="auto"/>
              <w:ind w:left="109" w:right="80"/>
              <w:rPr>
                <w:sz w:val="21"/>
              </w:rPr>
            </w:pPr>
            <w:r>
              <w:rPr>
                <w:spacing w:val="-10"/>
                <w:sz w:val="21"/>
              </w:rPr>
              <w:t>《贵州省进一步加强城乡集中式饮用水水源地保护管理工作方</w:t>
            </w:r>
            <w:r>
              <w:rPr>
                <w:spacing w:val="-20"/>
                <w:sz w:val="21"/>
              </w:rPr>
              <w:t>案》黔府办发〔</w:t>
            </w:r>
            <w:r>
              <w:rPr>
                <w:spacing w:val="-10"/>
                <w:sz w:val="21"/>
              </w:rPr>
              <w:t>2017</w:t>
            </w:r>
            <w:r>
              <w:rPr>
                <w:spacing w:val="-20"/>
                <w:sz w:val="21"/>
              </w:rPr>
              <w:t>〕</w:t>
            </w:r>
            <w:r>
              <w:rPr>
                <w:spacing w:val="-5"/>
                <w:sz w:val="21"/>
              </w:rPr>
              <w:t>20</w:t>
            </w:r>
            <w:r>
              <w:rPr>
                <w:spacing w:val="-34"/>
                <w:sz w:val="21"/>
              </w:rPr>
              <w:t xml:space="preserve">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line="320" w:lineRule="exact"/>
              <w:ind w:left="109" w:right="94"/>
              <w:rPr>
                <w:sz w:val="21"/>
              </w:rPr>
            </w:pPr>
            <w:r>
              <w:rPr>
                <w:sz w:val="21"/>
              </w:rPr>
              <w:t>5.</w:t>
            </w:r>
            <w:r>
              <w:rPr>
                <w:spacing w:val="-5"/>
                <w:sz w:val="21"/>
              </w:rPr>
              <w:t>对城乡集中式饮用水水源地一级保护区周边人群密集、生产生活活动频繁的区域要加快建设隔离防护设施，杜绝人为活动对</w:t>
            </w:r>
            <w:r>
              <w:rPr>
                <w:spacing w:val="-4"/>
                <w:sz w:val="21"/>
              </w:rPr>
              <w:t>取水口的影响。</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restart"/>
          </w:tcPr>
          <w:p>
            <w:pPr>
              <w:pStyle w:val="12"/>
              <w:rPr>
                <w:b/>
                <w:sz w:val="20"/>
              </w:rPr>
            </w:pPr>
          </w:p>
          <w:p>
            <w:pPr>
              <w:pStyle w:val="12"/>
              <w:rPr>
                <w:b/>
                <w:sz w:val="20"/>
              </w:rPr>
            </w:pPr>
          </w:p>
          <w:p>
            <w:pPr>
              <w:pStyle w:val="12"/>
              <w:spacing w:before="147"/>
              <w:ind w:left="514"/>
              <w:rPr>
                <w:sz w:val="21"/>
              </w:rPr>
            </w:pPr>
            <w:r>
              <w:rPr>
                <w:sz w:val="21"/>
              </w:rPr>
              <w:t>资源开发效率</w:t>
            </w:r>
          </w:p>
        </w:tc>
        <w:tc>
          <w:tcPr>
            <w:tcW w:w="11723" w:type="dxa"/>
          </w:tcPr>
          <w:p>
            <w:pPr>
              <w:pStyle w:val="12"/>
              <w:spacing w:before="10"/>
              <w:rPr>
                <w:b/>
                <w:sz w:val="16"/>
              </w:rPr>
            </w:pPr>
          </w:p>
          <w:p>
            <w:pPr>
              <w:pStyle w:val="12"/>
              <w:numPr>
                <w:ilvl w:val="0"/>
                <w:numId w:val="12"/>
              </w:numPr>
              <w:tabs>
                <w:tab w:val="left" w:pos="322"/>
              </w:tabs>
              <w:spacing w:line="255" w:lineRule="exact"/>
              <w:rPr>
                <w:sz w:val="21"/>
              </w:rPr>
            </w:pPr>
            <w:r>
              <w:rPr>
                <w:spacing w:val="-3"/>
                <w:sz w:val="21"/>
              </w:rPr>
              <w:t>开发利用水资源时，应优先考虑和保护饮用水水源的水量、水质要求。</w:t>
            </w:r>
          </w:p>
          <w:p>
            <w:pPr>
              <w:pStyle w:val="12"/>
              <w:numPr>
                <w:ilvl w:val="0"/>
                <w:numId w:val="12"/>
              </w:numPr>
              <w:tabs>
                <w:tab w:val="left" w:pos="322"/>
              </w:tabs>
              <w:spacing w:line="255" w:lineRule="exact"/>
              <w:rPr>
                <w:sz w:val="21"/>
              </w:rPr>
            </w:pPr>
            <w:r>
              <w:rPr>
                <w:spacing w:val="-3"/>
                <w:sz w:val="21"/>
              </w:rPr>
              <w:t>对多功能湖库型饮用水水源地，应划定水资源开发利用控制红线，保证饮用水水源功能需要。</w:t>
            </w:r>
          </w:p>
        </w:tc>
        <w:tc>
          <w:tcPr>
            <w:tcW w:w="5676" w:type="dxa"/>
          </w:tcPr>
          <w:p>
            <w:pPr>
              <w:pStyle w:val="12"/>
              <w:spacing w:before="9"/>
              <w:rPr>
                <w:b/>
                <w:sz w:val="26"/>
              </w:rPr>
            </w:pPr>
          </w:p>
          <w:p>
            <w:pPr>
              <w:pStyle w:val="12"/>
              <w:ind w:left="109"/>
              <w:rPr>
                <w:sz w:val="21"/>
              </w:rPr>
            </w:pPr>
            <w:r>
              <w:rPr>
                <w:spacing w:val="-26"/>
                <w:sz w:val="21"/>
              </w:rPr>
              <w:t>《贵州省饮用水水源环境保护办法》</w:t>
            </w:r>
            <w:r>
              <w:rPr>
                <w:spacing w:val="-20"/>
                <w:sz w:val="21"/>
              </w:rPr>
              <w:t>（黔府发</w:t>
            </w:r>
            <w:r>
              <w:rPr>
                <w:spacing w:val="-9"/>
                <w:sz w:val="21"/>
              </w:rPr>
              <w:t>[2018]29</w:t>
            </w:r>
            <w:r>
              <w:rPr>
                <w:spacing w:val="-43"/>
                <w:sz w:val="21"/>
              </w:rPr>
              <w:t xml:space="preserve"> 号</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46"/>
              <w:ind w:left="109"/>
              <w:rPr>
                <w:sz w:val="21"/>
              </w:rPr>
            </w:pPr>
            <w:r>
              <w:rPr>
                <w:sz w:val="21"/>
              </w:rPr>
              <w:t>3.跨地区的河流、湖泊、水库、输水渠道，其上游地区不得影响下游(或相邻)地区饮用水水源水质要求，并应保证下游合理水</w:t>
            </w:r>
          </w:p>
          <w:p>
            <w:pPr>
              <w:pStyle w:val="12"/>
              <w:spacing w:before="53" w:line="252" w:lineRule="exact"/>
              <w:ind w:left="109"/>
              <w:rPr>
                <w:sz w:val="21"/>
              </w:rPr>
            </w:pPr>
            <w:r>
              <w:rPr>
                <w:sz w:val="21"/>
              </w:rPr>
              <w:t>量。</w:t>
            </w:r>
          </w:p>
        </w:tc>
        <w:tc>
          <w:tcPr>
            <w:tcW w:w="5676" w:type="dxa"/>
          </w:tcPr>
          <w:p>
            <w:pPr>
              <w:pStyle w:val="12"/>
              <w:spacing w:before="11"/>
              <w:rPr>
                <w:b/>
                <w:sz w:val="14"/>
              </w:rPr>
            </w:pPr>
          </w:p>
          <w:p>
            <w:pPr>
              <w:pStyle w:val="12"/>
              <w:ind w:left="109"/>
              <w:rPr>
                <w:sz w:val="21"/>
              </w:rPr>
            </w:pPr>
            <w:r>
              <w:rPr>
                <w:sz w:val="21"/>
              </w:rPr>
              <w:t>《饮用水水源保护区划分技术规范》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restart"/>
          </w:tcPr>
          <w:p>
            <w:pPr>
              <w:pStyle w:val="12"/>
              <w:rPr>
                <w:b/>
                <w:sz w:val="20"/>
              </w:rPr>
            </w:pPr>
          </w:p>
          <w:p>
            <w:pPr>
              <w:pStyle w:val="12"/>
              <w:rPr>
                <w:b/>
                <w:sz w:val="20"/>
              </w:rPr>
            </w:pPr>
          </w:p>
          <w:p>
            <w:pPr>
              <w:pStyle w:val="12"/>
              <w:rPr>
                <w:b/>
                <w:sz w:val="20"/>
              </w:rPr>
            </w:pPr>
          </w:p>
          <w:p>
            <w:pPr>
              <w:pStyle w:val="12"/>
              <w:spacing w:before="2"/>
              <w:rPr>
                <w:b/>
                <w:sz w:val="27"/>
              </w:rPr>
            </w:pPr>
          </w:p>
          <w:p>
            <w:pPr>
              <w:pStyle w:val="12"/>
              <w:ind w:left="722"/>
              <w:rPr>
                <w:sz w:val="21"/>
              </w:rPr>
            </w:pPr>
            <w:r>
              <w:rPr>
                <w:sz w:val="21"/>
              </w:rPr>
              <w:t>其他要求</w:t>
            </w:r>
          </w:p>
        </w:tc>
        <w:tc>
          <w:tcPr>
            <w:tcW w:w="11723" w:type="dxa"/>
          </w:tcPr>
          <w:p>
            <w:pPr>
              <w:pStyle w:val="12"/>
              <w:spacing w:line="241" w:lineRule="exact"/>
              <w:ind w:left="109"/>
              <w:rPr>
                <w:sz w:val="21"/>
              </w:rPr>
            </w:pPr>
            <w:r>
              <w:rPr>
                <w:rFonts w:ascii="Times New Roman" w:eastAsia="Times New Roman"/>
                <w:sz w:val="21"/>
              </w:rPr>
              <w:t>1.</w:t>
            </w:r>
            <w:r>
              <w:rPr>
                <w:sz w:val="21"/>
              </w:rPr>
              <w:t>开展饮用水水源规范化建设，依法清理饮用水水源保护区内违法建筑和排污口。</w:t>
            </w:r>
          </w:p>
        </w:tc>
        <w:tc>
          <w:tcPr>
            <w:tcW w:w="5676" w:type="dxa"/>
          </w:tcPr>
          <w:p>
            <w:pPr>
              <w:pStyle w:val="12"/>
              <w:spacing w:line="241" w:lineRule="exact"/>
              <w:ind w:left="109"/>
              <w:rPr>
                <w:sz w:val="21"/>
              </w:rPr>
            </w:pPr>
            <w:r>
              <w:rPr>
                <w:sz w:val="21"/>
              </w:rPr>
              <w:t>《关于全面推行河长制的意见》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line="220" w:lineRule="exact"/>
              <w:ind w:left="109"/>
              <w:rPr>
                <w:sz w:val="21"/>
              </w:rPr>
            </w:pPr>
            <w:r>
              <w:rPr>
                <w:rFonts w:ascii="Times New Roman" w:eastAsia="Times New Roman"/>
                <w:sz w:val="21"/>
              </w:rPr>
              <w:t xml:space="preserve">2 </w:t>
            </w:r>
            <w:r>
              <w:rPr>
                <w:sz w:val="21"/>
              </w:rPr>
              <w:t xml:space="preserve">单一水源供水的市（州）级以上城市应于 </w:t>
            </w:r>
            <w:r>
              <w:rPr>
                <w:rFonts w:ascii="Times New Roman" w:eastAsia="Times New Roman"/>
                <w:sz w:val="21"/>
              </w:rPr>
              <w:t xml:space="preserve">2020 </w:t>
            </w:r>
            <w:r>
              <w:rPr>
                <w:sz w:val="21"/>
              </w:rPr>
              <w:t>年底前基本完成备用水源或应急水源建设。</w:t>
            </w:r>
          </w:p>
        </w:tc>
        <w:tc>
          <w:tcPr>
            <w:tcW w:w="5676" w:type="dxa"/>
          </w:tcPr>
          <w:p>
            <w:pPr>
              <w:pStyle w:val="12"/>
              <w:spacing w:line="220" w:lineRule="exact"/>
              <w:ind w:left="109"/>
              <w:rPr>
                <w:sz w:val="21"/>
              </w:rPr>
            </w:pPr>
            <w:r>
              <w:rPr>
                <w:sz w:val="21"/>
              </w:rPr>
              <w:t>《水利改革发展“十三五”规划》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line="236" w:lineRule="exact"/>
              <w:ind w:left="109"/>
              <w:rPr>
                <w:sz w:val="21"/>
              </w:rPr>
            </w:pPr>
            <w:r>
              <w:rPr>
                <w:rFonts w:ascii="Times New Roman" w:eastAsia="Times New Roman"/>
                <w:sz w:val="21"/>
              </w:rPr>
              <w:t>3.</w:t>
            </w:r>
            <w:r>
              <w:rPr>
                <w:spacing w:val="-10"/>
                <w:sz w:val="21"/>
              </w:rPr>
              <w:t xml:space="preserve">供水人口 </w:t>
            </w:r>
            <w:r>
              <w:rPr>
                <w:rFonts w:ascii="Times New Roman" w:eastAsia="Times New Roman"/>
                <w:sz w:val="21"/>
              </w:rPr>
              <w:t xml:space="preserve">1000 </w:t>
            </w:r>
            <w:r>
              <w:rPr>
                <w:spacing w:val="-9"/>
                <w:sz w:val="21"/>
              </w:rPr>
              <w:t>人以上的农村集中式饮用水水源，要依法划定保护区，按照规范和标志技术要求，建立和完善饮用水水源保护</w:t>
            </w:r>
          </w:p>
          <w:p>
            <w:pPr>
              <w:pStyle w:val="12"/>
              <w:spacing w:before="3" w:line="240" w:lineRule="exact"/>
              <w:ind w:left="109" w:right="-15"/>
              <w:rPr>
                <w:sz w:val="21"/>
              </w:rPr>
            </w:pPr>
            <w:r>
              <w:rPr>
                <w:spacing w:val="-9"/>
                <w:sz w:val="21"/>
              </w:rPr>
              <w:t xml:space="preserve">区界碑、界桩、警示牌、围网等环境保护设施，明确地域界限并予以公告。对供水人口 </w:t>
            </w:r>
            <w:r>
              <w:rPr>
                <w:rFonts w:ascii="Times New Roman" w:eastAsia="Times New Roman"/>
                <w:sz w:val="21"/>
              </w:rPr>
              <w:t>1000</w:t>
            </w:r>
            <w:r>
              <w:rPr>
                <w:rFonts w:ascii="Times New Roman" w:eastAsia="Times New Roman"/>
                <w:spacing w:val="25"/>
                <w:sz w:val="21"/>
              </w:rPr>
              <w:t xml:space="preserve"> </w:t>
            </w:r>
            <w:r>
              <w:rPr>
                <w:spacing w:val="-3"/>
                <w:sz w:val="21"/>
              </w:rPr>
              <w:t>人以下的农村集中式饮用水水源， 要通过设立警示牌和指导制定乡规民约等方式加强保护。</w:t>
            </w:r>
          </w:p>
        </w:tc>
        <w:tc>
          <w:tcPr>
            <w:tcW w:w="5676" w:type="dxa"/>
          </w:tcPr>
          <w:p>
            <w:pPr>
              <w:pStyle w:val="12"/>
              <w:spacing w:before="125" w:line="213" w:lineRule="auto"/>
              <w:ind w:left="109" w:right="93"/>
              <w:rPr>
                <w:sz w:val="21"/>
              </w:rPr>
            </w:pPr>
            <w:r>
              <w:rPr>
                <w:sz w:val="21"/>
              </w:rPr>
              <w:t>《贵州省进一步加强城乡集中式饮用水水源地保护管理工作方案》黔府办发〔</w:t>
            </w:r>
            <w:r>
              <w:rPr>
                <w:rFonts w:ascii="Times New Roman" w:eastAsia="Times New Roman"/>
                <w:sz w:val="21"/>
              </w:rPr>
              <w:t>2017</w:t>
            </w:r>
            <w:r>
              <w:rPr>
                <w:sz w:val="21"/>
              </w:rPr>
              <w:t>〕</w:t>
            </w:r>
            <w:r>
              <w:rPr>
                <w:rFonts w:ascii="Times New Roman" w:eastAsia="Times New Roman"/>
                <w:sz w:val="21"/>
              </w:rPr>
              <w:t xml:space="preserve">20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line="240" w:lineRule="exact"/>
              <w:ind w:left="109" w:right="99"/>
              <w:rPr>
                <w:sz w:val="21"/>
              </w:rPr>
            </w:pPr>
            <w:r>
              <w:rPr>
                <w:rFonts w:ascii="Times New Roman" w:eastAsia="Times New Roman"/>
                <w:sz w:val="21"/>
              </w:rPr>
              <w:t>4.</w:t>
            </w:r>
            <w:r>
              <w:rPr>
                <w:sz w:val="21"/>
              </w:rPr>
              <w:t>各地人民政府确需对辖区内城乡集中式饮用水水源地进行替换或调整的，在新划定的城乡集中式饮用水水源地建成供水设施并稳定达标供水后，要向省相关部门提出替换水源地申请，由省相关部门按规定和程序组织审查论证后报省人民政府。。</w:t>
            </w:r>
          </w:p>
        </w:tc>
        <w:tc>
          <w:tcPr>
            <w:tcW w:w="5676" w:type="dxa"/>
          </w:tcPr>
          <w:p>
            <w:pPr>
              <w:pStyle w:val="12"/>
              <w:spacing w:line="240" w:lineRule="exact"/>
              <w:ind w:left="109" w:right="93"/>
              <w:rPr>
                <w:sz w:val="21"/>
              </w:rPr>
            </w:pPr>
            <w:r>
              <w:rPr>
                <w:sz w:val="21"/>
              </w:rPr>
              <w:t>《贵州省进一步加强城乡集中式饮用水水源地保护管理工作方案》黔府办发〔</w:t>
            </w:r>
            <w:r>
              <w:rPr>
                <w:rFonts w:ascii="Times New Roman" w:eastAsia="Times New Roman"/>
                <w:sz w:val="21"/>
              </w:rPr>
              <w:t>2017</w:t>
            </w:r>
            <w:r>
              <w:rPr>
                <w:sz w:val="21"/>
              </w:rPr>
              <w:t>〕</w:t>
            </w:r>
            <w:r>
              <w:rPr>
                <w:rFonts w:ascii="Times New Roman" w:eastAsia="Times New Roman"/>
                <w:sz w:val="21"/>
              </w:rPr>
              <w:t xml:space="preserve">20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158" w:line="213" w:lineRule="auto"/>
              <w:ind w:left="109" w:right="99"/>
              <w:rPr>
                <w:sz w:val="21"/>
              </w:rPr>
            </w:pPr>
            <w:r>
              <w:rPr>
                <w:rFonts w:ascii="Times New Roman" w:eastAsia="Times New Roman"/>
                <w:sz w:val="21"/>
              </w:rPr>
              <w:t>5.</w:t>
            </w:r>
            <w:r>
              <w:rPr>
                <w:sz w:val="21"/>
              </w:rPr>
              <w:t>各地人民政府定期开展城乡集中式饮用水水源地水质监测与评估，并公开饮用水水质监测信息，及时发现问题并立即组织整改。</w:t>
            </w:r>
          </w:p>
        </w:tc>
        <w:tc>
          <w:tcPr>
            <w:tcW w:w="5676" w:type="dxa"/>
          </w:tcPr>
          <w:p>
            <w:pPr>
              <w:pStyle w:val="12"/>
              <w:spacing w:before="158" w:line="213" w:lineRule="auto"/>
              <w:ind w:left="109" w:right="93"/>
              <w:rPr>
                <w:sz w:val="21"/>
              </w:rPr>
            </w:pPr>
            <w:r>
              <w:rPr>
                <w:sz w:val="21"/>
              </w:rPr>
              <w:t>《贵州省进一步加强城乡集中式饮用水水源地保护管理工作方案》黔府办发〔</w:t>
            </w:r>
            <w:r>
              <w:rPr>
                <w:rFonts w:ascii="Times New Roman" w:eastAsia="Times New Roman"/>
                <w:sz w:val="21"/>
              </w:rPr>
              <w:t>2017</w:t>
            </w:r>
            <w:r>
              <w:rPr>
                <w:sz w:val="21"/>
              </w:rPr>
              <w:t>〕</w:t>
            </w:r>
            <w:r>
              <w:rPr>
                <w:rFonts w:ascii="Times New Roman" w:eastAsia="Times New Roman"/>
                <w:sz w:val="21"/>
              </w:rPr>
              <w:t xml:space="preserve">20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50" w:type="dxa"/>
            <w:vMerge w:val="continue"/>
            <w:tcBorders>
              <w:top w:val="nil"/>
            </w:tcBorders>
          </w:tcPr>
          <w:p>
            <w:pPr>
              <w:rPr>
                <w:sz w:val="2"/>
                <w:szCs w:val="2"/>
              </w:rPr>
            </w:pPr>
          </w:p>
        </w:tc>
        <w:tc>
          <w:tcPr>
            <w:tcW w:w="761"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20"/>
              </w:rPr>
            </w:pPr>
          </w:p>
          <w:p>
            <w:pPr>
              <w:pStyle w:val="12"/>
              <w:spacing w:line="213" w:lineRule="auto"/>
              <w:ind w:left="108" w:right="223"/>
              <w:jc w:val="both"/>
              <w:rPr>
                <w:sz w:val="21"/>
              </w:rPr>
            </w:pPr>
            <w:r>
              <w:rPr>
                <w:sz w:val="21"/>
              </w:rPr>
              <w:t>湿地自然保护区</w:t>
            </w:r>
          </w:p>
        </w:tc>
        <w:tc>
          <w:tcPr>
            <w:tcW w:w="415"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4"/>
              </w:rPr>
            </w:pPr>
          </w:p>
          <w:p>
            <w:pPr>
              <w:pStyle w:val="12"/>
              <w:spacing w:before="1" w:line="213" w:lineRule="auto"/>
              <w:ind w:left="108" w:right="88"/>
              <w:jc w:val="both"/>
              <w:rPr>
                <w:sz w:val="21"/>
              </w:rPr>
            </w:pPr>
            <w:r>
              <w:rPr>
                <w:sz w:val="21"/>
              </w:rPr>
              <w:t>空间布局约束</w:t>
            </w:r>
          </w:p>
        </w:tc>
        <w:tc>
          <w:tcPr>
            <w:tcW w:w="1869" w:type="dxa"/>
            <w:vMerge w:val="restart"/>
          </w:tcPr>
          <w:p>
            <w:pPr>
              <w:pStyle w:val="12"/>
              <w:rPr>
                <w:b/>
                <w:sz w:val="20"/>
              </w:rPr>
            </w:pPr>
          </w:p>
          <w:p>
            <w:pPr>
              <w:pStyle w:val="12"/>
              <w:rPr>
                <w:b/>
                <w:sz w:val="20"/>
              </w:rPr>
            </w:pPr>
          </w:p>
          <w:p>
            <w:pPr>
              <w:pStyle w:val="12"/>
              <w:rPr>
                <w:b/>
                <w:sz w:val="20"/>
              </w:rPr>
            </w:pPr>
          </w:p>
          <w:p>
            <w:pPr>
              <w:pStyle w:val="12"/>
              <w:spacing w:before="1"/>
              <w:rPr>
                <w:b/>
                <w:sz w:val="15"/>
              </w:rPr>
            </w:pPr>
          </w:p>
          <w:p>
            <w:pPr>
              <w:pStyle w:val="12"/>
              <w:spacing w:line="213" w:lineRule="auto"/>
              <w:ind w:left="514" w:right="188" w:hanging="315"/>
              <w:rPr>
                <w:sz w:val="21"/>
              </w:rPr>
            </w:pPr>
            <w:r>
              <w:rPr>
                <w:sz w:val="21"/>
              </w:rPr>
              <w:t>禁止开发建设活动的要求</w:t>
            </w:r>
          </w:p>
        </w:tc>
        <w:tc>
          <w:tcPr>
            <w:tcW w:w="11723" w:type="dxa"/>
          </w:tcPr>
          <w:p>
            <w:pPr>
              <w:pStyle w:val="12"/>
              <w:spacing w:line="240" w:lineRule="exact"/>
              <w:ind w:left="109" w:right="94"/>
              <w:rPr>
                <w:sz w:val="21"/>
              </w:rPr>
            </w:pPr>
            <w:r>
              <w:rPr>
                <w:sz w:val="21"/>
              </w:rPr>
              <w:t>1.</w:t>
            </w:r>
            <w:r>
              <w:rPr>
                <w:spacing w:val="-5"/>
                <w:sz w:val="21"/>
              </w:rPr>
              <w:t>妥善处理自然保护区与当地经济建设和居民生产生活的关系，不得在保护区核心区和缓冲区内建设任何生产设施及开展旅游活动。</w:t>
            </w:r>
          </w:p>
        </w:tc>
        <w:tc>
          <w:tcPr>
            <w:tcW w:w="5676" w:type="dxa"/>
          </w:tcPr>
          <w:p>
            <w:pPr>
              <w:pStyle w:val="12"/>
              <w:spacing w:before="109"/>
              <w:ind w:left="109"/>
              <w:rPr>
                <w:sz w:val="21"/>
              </w:rPr>
            </w:pPr>
            <w:r>
              <w:rPr>
                <w:sz w:val="21"/>
              </w:rPr>
              <w:t>《中华人民共和国自然保护区条例》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Pr>
          <w:p>
            <w:pPr>
              <w:pStyle w:val="12"/>
              <w:spacing w:before="5" w:line="213" w:lineRule="auto"/>
              <w:ind w:left="109" w:right="-15"/>
              <w:rPr>
                <w:sz w:val="21"/>
              </w:rPr>
            </w:pPr>
            <w:r>
              <w:rPr>
                <w:sz w:val="21"/>
              </w:rPr>
              <w:t>2.</w:t>
            </w:r>
            <w:r>
              <w:rPr>
                <w:spacing w:val="-7"/>
                <w:sz w:val="21"/>
              </w:rPr>
              <w:t>除法律法规有特别规定的以外，在湿地内禁止从事下列活动：开</w:t>
            </w:r>
            <w:r>
              <w:rPr>
                <w:sz w:val="21"/>
              </w:rPr>
              <w:t>（</w:t>
            </w:r>
            <w:r>
              <w:rPr>
                <w:spacing w:val="-3"/>
                <w:sz w:val="21"/>
              </w:rPr>
              <w:t>围</w:t>
            </w:r>
            <w:r>
              <w:rPr>
                <w:spacing w:val="-22"/>
                <w:sz w:val="21"/>
              </w:rPr>
              <w:t>）</w:t>
            </w:r>
            <w:r>
              <w:rPr>
                <w:spacing w:val="-9"/>
                <w:sz w:val="21"/>
              </w:rPr>
              <w:t>垦、填埋或者排干湿地；永久性截断湿地水源；挖沙、</w:t>
            </w:r>
            <w:r>
              <w:rPr>
                <w:spacing w:val="-10"/>
                <w:sz w:val="21"/>
              </w:rPr>
              <w:t>采矿；倾倒有毒有害物质、废弃物、垃圾；破坏野生动物栖息地和迁徙通道、鱼类洄游通道，滥采滥捕野生动植物；引进外来</w:t>
            </w:r>
          </w:p>
          <w:p>
            <w:pPr>
              <w:pStyle w:val="12"/>
              <w:spacing w:line="216" w:lineRule="exact"/>
              <w:ind w:left="109"/>
              <w:rPr>
                <w:sz w:val="21"/>
              </w:rPr>
            </w:pPr>
            <w:r>
              <w:rPr>
                <w:sz w:val="21"/>
              </w:rPr>
              <w:t>物种；擅自放牧、捕捞、取土、取水、排污、放生；其他破坏湿地及其生态功能的活动。</w:t>
            </w:r>
          </w:p>
        </w:tc>
        <w:tc>
          <w:tcPr>
            <w:tcW w:w="5676" w:type="dxa"/>
          </w:tcPr>
          <w:p>
            <w:pPr>
              <w:pStyle w:val="12"/>
              <w:spacing w:before="11"/>
              <w:rPr>
                <w:b/>
                <w:sz w:val="17"/>
              </w:rPr>
            </w:pPr>
          </w:p>
          <w:p>
            <w:pPr>
              <w:pStyle w:val="12"/>
              <w:ind w:left="109"/>
              <w:rPr>
                <w:sz w:val="21"/>
              </w:rPr>
            </w:pPr>
            <w:r>
              <w:rPr>
                <w:sz w:val="21"/>
              </w:rPr>
              <w:t>《湿地保护管理规定》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Pr>
          <w:p>
            <w:pPr>
              <w:pStyle w:val="12"/>
              <w:spacing w:before="11"/>
              <w:rPr>
                <w:b/>
                <w:sz w:val="27"/>
              </w:rPr>
            </w:pPr>
          </w:p>
          <w:p>
            <w:pPr>
              <w:pStyle w:val="12"/>
              <w:spacing w:before="1" w:line="213" w:lineRule="auto"/>
              <w:ind w:left="109" w:right="95"/>
              <w:rPr>
                <w:sz w:val="21"/>
              </w:rPr>
            </w:pPr>
            <w:r>
              <w:rPr>
                <w:sz w:val="21"/>
              </w:rPr>
              <w:t>3.禁止擅自开发利用重要湿地，禁止侵占自然湿地等水源涵养空间，已侵占的要限期予以恢复;禁止向湿地排放有毒污染物或超标废水;禁止破坏湿地及其生态功能的其他活动。</w:t>
            </w:r>
          </w:p>
        </w:tc>
        <w:tc>
          <w:tcPr>
            <w:tcW w:w="5676" w:type="dxa"/>
          </w:tcPr>
          <w:p>
            <w:pPr>
              <w:pStyle w:val="12"/>
              <w:spacing w:before="7"/>
              <w:rPr>
                <w:b/>
                <w:sz w:val="26"/>
              </w:rPr>
            </w:pPr>
          </w:p>
          <w:p>
            <w:pPr>
              <w:pStyle w:val="12"/>
              <w:spacing w:line="230" w:lineRule="auto"/>
              <w:ind w:left="109" w:right="81"/>
              <w:rPr>
                <w:sz w:val="21"/>
              </w:rPr>
            </w:pPr>
            <w:r>
              <w:rPr>
                <w:spacing w:val="-17"/>
                <w:sz w:val="21"/>
              </w:rPr>
              <w:t>《省人民政府办公厅关于印发贵州省湿地保护修复制度实施方案</w:t>
            </w:r>
            <w:r>
              <w:rPr>
                <w:spacing w:val="-20"/>
                <w:sz w:val="21"/>
              </w:rPr>
              <w:t>的通知》(黔府办发〔</w:t>
            </w:r>
            <w:r>
              <w:rPr>
                <w:spacing w:val="-10"/>
                <w:sz w:val="21"/>
              </w:rPr>
              <w:t>2017</w:t>
            </w:r>
            <w:r>
              <w:rPr>
                <w:spacing w:val="-20"/>
                <w:sz w:val="21"/>
              </w:rPr>
              <w:t>〕</w:t>
            </w:r>
            <w:r>
              <w:rPr>
                <w:spacing w:val="-5"/>
                <w:sz w:val="21"/>
              </w:rPr>
              <w:t>80</w:t>
            </w:r>
            <w:r>
              <w:rPr>
                <w:spacing w:val="-30"/>
                <w:sz w:val="21"/>
              </w:rPr>
              <w:t xml:space="preserve">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restart"/>
          </w:tcPr>
          <w:p>
            <w:pPr>
              <w:pStyle w:val="12"/>
              <w:rPr>
                <w:b/>
                <w:sz w:val="20"/>
              </w:rPr>
            </w:pPr>
          </w:p>
          <w:p>
            <w:pPr>
              <w:pStyle w:val="12"/>
              <w:spacing w:before="130" w:line="213" w:lineRule="auto"/>
              <w:ind w:left="514" w:right="188" w:hanging="315"/>
              <w:rPr>
                <w:sz w:val="21"/>
              </w:rPr>
            </w:pPr>
            <w:r>
              <w:rPr>
                <w:sz w:val="21"/>
              </w:rPr>
              <w:t>限制开发建设活动的要求</w:t>
            </w:r>
          </w:p>
        </w:tc>
        <w:tc>
          <w:tcPr>
            <w:tcW w:w="11723" w:type="dxa"/>
          </w:tcPr>
          <w:p>
            <w:pPr>
              <w:pStyle w:val="12"/>
              <w:spacing w:before="19" w:line="240" w:lineRule="exact"/>
              <w:ind w:left="109" w:right="94"/>
              <w:rPr>
                <w:sz w:val="21"/>
              </w:rPr>
            </w:pPr>
            <w:r>
              <w:rPr>
                <w:sz w:val="21"/>
              </w:rPr>
              <w:t>1.</w:t>
            </w:r>
            <w:r>
              <w:rPr>
                <w:spacing w:val="-4"/>
                <w:sz w:val="21"/>
              </w:rPr>
              <w:t>涉及自然保护区的新建或改</w:t>
            </w:r>
            <w:r>
              <w:rPr>
                <w:spacing w:val="-3"/>
                <w:sz w:val="21"/>
              </w:rPr>
              <w:t>（</w:t>
            </w:r>
            <w:r>
              <w:rPr>
                <w:sz w:val="21"/>
              </w:rPr>
              <w:t>扩</w:t>
            </w:r>
            <w:r>
              <w:rPr>
                <w:spacing w:val="-10"/>
                <w:sz w:val="21"/>
              </w:rPr>
              <w:t>）</w:t>
            </w:r>
            <w:r>
              <w:rPr>
                <w:spacing w:val="-7"/>
                <w:sz w:val="21"/>
              </w:rPr>
              <w:t>建取水口，应严格限制布局在实验区范围内，并编制生态影响专题报告，严格进行生态准</w:t>
            </w:r>
            <w:r>
              <w:rPr>
                <w:spacing w:val="-5"/>
                <w:sz w:val="21"/>
              </w:rPr>
              <w:t>入审查。</w:t>
            </w:r>
          </w:p>
        </w:tc>
        <w:tc>
          <w:tcPr>
            <w:tcW w:w="5676" w:type="dxa"/>
          </w:tcPr>
          <w:p>
            <w:pPr>
              <w:pStyle w:val="12"/>
              <w:spacing w:line="268" w:lineRule="exact"/>
              <w:ind w:left="109"/>
              <w:rPr>
                <w:sz w:val="21"/>
              </w:rPr>
            </w:pPr>
            <w:r>
              <w:rPr>
                <w:sz w:val="21"/>
              </w:rPr>
              <w:t>《长江经济带沿江取水口、排污口和应急水源布局规划》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Pr>
          <w:p>
            <w:pPr>
              <w:pStyle w:val="12"/>
              <w:spacing w:line="240" w:lineRule="exact"/>
              <w:ind w:left="109" w:right="94"/>
              <w:jc w:val="both"/>
              <w:rPr>
                <w:sz w:val="21"/>
              </w:rPr>
            </w:pPr>
            <w:r>
              <w:rPr>
                <w:sz w:val="21"/>
              </w:rPr>
              <w:t>2.</w:t>
            </w:r>
            <w:r>
              <w:rPr>
                <w:spacing w:val="-8"/>
                <w:sz w:val="21"/>
              </w:rPr>
              <w:t>机场、铁路、公路、水利水电、围堰、围填海等建设项目的选址选线，应当避让相关自然保护区域、野生动物迁徙洄游通道</w:t>
            </w:r>
            <w:r>
              <w:rPr>
                <w:spacing w:val="-9"/>
                <w:sz w:val="21"/>
              </w:rPr>
              <w:t>经论证确实无法避让的，应当报省人民政府批准后采取修建野生动物通道、过鱼设施等措施，消除或者减少对野生动物的不利影响。</w:t>
            </w:r>
          </w:p>
        </w:tc>
        <w:tc>
          <w:tcPr>
            <w:tcW w:w="5676" w:type="dxa"/>
          </w:tcPr>
          <w:p>
            <w:pPr>
              <w:pStyle w:val="12"/>
              <w:spacing w:before="11"/>
              <w:rPr>
                <w:b/>
                <w:sz w:val="17"/>
              </w:rPr>
            </w:pPr>
          </w:p>
          <w:p>
            <w:pPr>
              <w:pStyle w:val="12"/>
              <w:spacing w:before="1"/>
              <w:ind w:left="109"/>
              <w:rPr>
                <w:sz w:val="21"/>
              </w:rPr>
            </w:pPr>
            <w:r>
              <w:rPr>
                <w:sz w:val="21"/>
              </w:rPr>
              <w:t>《中华人民共和国野生动物保护法》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restart"/>
          </w:tcPr>
          <w:p>
            <w:pPr>
              <w:pStyle w:val="12"/>
              <w:spacing w:before="57" w:line="213" w:lineRule="auto"/>
              <w:ind w:left="408" w:right="188" w:hanging="209"/>
              <w:rPr>
                <w:sz w:val="21"/>
              </w:rPr>
            </w:pPr>
            <w:r>
              <w:rPr>
                <w:sz w:val="21"/>
              </w:rPr>
              <w:t>允许开发建设活动特殊要求</w:t>
            </w:r>
          </w:p>
        </w:tc>
        <w:tc>
          <w:tcPr>
            <w:tcW w:w="11723" w:type="dxa"/>
          </w:tcPr>
          <w:p>
            <w:pPr>
              <w:pStyle w:val="12"/>
              <w:spacing w:line="239" w:lineRule="exact"/>
              <w:ind w:left="109"/>
              <w:rPr>
                <w:sz w:val="21"/>
              </w:rPr>
            </w:pPr>
            <w:r>
              <w:rPr>
                <w:sz w:val="21"/>
              </w:rPr>
              <w:t>1.在自然保护区的外围保护地带建设的项目，不得损害自然保护区内的环境质量。</w:t>
            </w:r>
          </w:p>
        </w:tc>
        <w:tc>
          <w:tcPr>
            <w:tcW w:w="5676" w:type="dxa"/>
          </w:tcPr>
          <w:p>
            <w:pPr>
              <w:pStyle w:val="12"/>
              <w:spacing w:line="239" w:lineRule="exact"/>
              <w:ind w:left="109"/>
              <w:rPr>
                <w:sz w:val="21"/>
              </w:rPr>
            </w:pPr>
            <w:r>
              <w:rPr>
                <w:sz w:val="21"/>
              </w:rPr>
              <w:t>《中华人民共和国自然保护区条例》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Pr>
          <w:p>
            <w:pPr>
              <w:pStyle w:val="12"/>
              <w:spacing w:before="46" w:line="255" w:lineRule="exact"/>
              <w:ind w:left="109"/>
              <w:rPr>
                <w:sz w:val="21"/>
              </w:rPr>
            </w:pPr>
            <w:r>
              <w:rPr>
                <w:sz w:val="21"/>
              </w:rPr>
              <w:t>2.在自然保护区附近新建排污口，应该保证保护区水体不受污染。</w:t>
            </w:r>
          </w:p>
        </w:tc>
        <w:tc>
          <w:tcPr>
            <w:tcW w:w="5676" w:type="dxa"/>
          </w:tcPr>
          <w:p>
            <w:pPr>
              <w:pStyle w:val="12"/>
              <w:spacing w:before="30"/>
              <w:ind w:left="109"/>
              <w:rPr>
                <w:sz w:val="21"/>
              </w:rPr>
            </w:pPr>
            <w:r>
              <w:rPr>
                <w:spacing w:val="-20"/>
                <w:sz w:val="21"/>
              </w:rPr>
              <w:t>《湿地保护管理规定（</w:t>
            </w:r>
            <w:r>
              <w:rPr>
                <w:spacing w:val="-14"/>
                <w:sz w:val="21"/>
              </w:rPr>
              <w:t>国家林业局令第</w:t>
            </w:r>
            <w:r>
              <w:rPr>
                <w:spacing w:val="-5"/>
                <w:sz w:val="21"/>
              </w:rPr>
              <w:t>48</w:t>
            </w:r>
            <w:r>
              <w:rPr>
                <w:spacing w:val="-44"/>
                <w:sz w:val="21"/>
              </w:rPr>
              <w:t xml:space="preserve"> 号</w:t>
            </w:r>
            <w:r>
              <w:rPr>
                <w:spacing w:val="-11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tcPr>
          <w:p>
            <w:pPr>
              <w:pStyle w:val="12"/>
              <w:spacing w:before="4"/>
              <w:rPr>
                <w:b/>
                <w:sz w:val="27"/>
              </w:rPr>
            </w:pPr>
          </w:p>
          <w:p>
            <w:pPr>
              <w:pStyle w:val="12"/>
              <w:spacing w:line="213" w:lineRule="auto"/>
              <w:ind w:left="199" w:right="188"/>
              <w:jc w:val="center"/>
              <w:rPr>
                <w:sz w:val="21"/>
              </w:rPr>
            </w:pPr>
            <w:r>
              <w:rPr>
                <w:sz w:val="21"/>
              </w:rPr>
              <w:t>不符合空间布局要求活动的退出要求</w:t>
            </w:r>
          </w:p>
        </w:tc>
        <w:tc>
          <w:tcPr>
            <w:tcW w:w="11723" w:type="dxa"/>
          </w:tcPr>
          <w:p>
            <w:pPr>
              <w:pStyle w:val="12"/>
              <w:numPr>
                <w:ilvl w:val="0"/>
                <w:numId w:val="13"/>
              </w:numPr>
              <w:tabs>
                <w:tab w:val="left" w:pos="322"/>
              </w:tabs>
              <w:spacing w:before="110" w:line="213" w:lineRule="auto"/>
              <w:ind w:right="96" w:firstLine="0"/>
              <w:rPr>
                <w:sz w:val="21"/>
              </w:rPr>
            </w:pPr>
            <w:r>
              <w:rPr>
                <w:spacing w:val="-4"/>
                <w:sz w:val="21"/>
              </w:rPr>
              <w:t>对在核心区和缓冲区内违法开展的水</w:t>
            </w:r>
            <w:r>
              <w:rPr>
                <w:spacing w:val="-3"/>
                <w:sz w:val="21"/>
              </w:rPr>
              <w:t>（</w:t>
            </w:r>
            <w:r>
              <w:rPr>
                <w:sz w:val="21"/>
              </w:rPr>
              <w:t>风</w:t>
            </w:r>
            <w:r>
              <w:rPr>
                <w:spacing w:val="-8"/>
                <w:sz w:val="21"/>
              </w:rPr>
              <w:t>）电开发、房地产、旅游开发等活动，要立即予以关停或关闭，限期拆除，并实施</w:t>
            </w:r>
            <w:r>
              <w:rPr>
                <w:spacing w:val="-5"/>
                <w:sz w:val="21"/>
              </w:rPr>
              <w:t>生态恢复。</w:t>
            </w:r>
          </w:p>
          <w:p>
            <w:pPr>
              <w:pStyle w:val="12"/>
              <w:numPr>
                <w:ilvl w:val="0"/>
                <w:numId w:val="13"/>
              </w:numPr>
              <w:tabs>
                <w:tab w:val="left" w:pos="322"/>
              </w:tabs>
              <w:spacing w:line="233" w:lineRule="exact"/>
              <w:ind w:left="321"/>
              <w:rPr>
                <w:sz w:val="21"/>
              </w:rPr>
            </w:pPr>
            <w:r>
              <w:rPr>
                <w:spacing w:val="-3"/>
                <w:sz w:val="21"/>
              </w:rPr>
              <w:t>对违法排放污染物和影响生态环境的项目，在限期整改后仍不达标的，要坚决依法关停或关闭。</w:t>
            </w:r>
          </w:p>
          <w:p>
            <w:pPr>
              <w:pStyle w:val="12"/>
              <w:numPr>
                <w:ilvl w:val="0"/>
                <w:numId w:val="13"/>
              </w:numPr>
              <w:tabs>
                <w:tab w:val="left" w:pos="322"/>
              </w:tabs>
              <w:spacing w:before="9" w:line="213" w:lineRule="auto"/>
              <w:ind w:right="95" w:firstLine="0"/>
              <w:rPr>
                <w:sz w:val="21"/>
              </w:rPr>
            </w:pPr>
            <w:r>
              <w:rPr>
                <w:spacing w:val="-1"/>
                <w:sz w:val="21"/>
              </w:rPr>
              <w:t>对自然保护区设立之前已存在的合法取水权限期退出;自然保护区设立之后各项手续完备且已征得保护区主管部门同意设立</w:t>
            </w:r>
            <w:r>
              <w:rPr>
                <w:spacing w:val="-3"/>
                <w:sz w:val="21"/>
              </w:rPr>
              <w:t>的取水权，分类提出差别化的补偿和退出方案，在保障取水权人合法权益的前提下，依法退出自然保护区核心区和缓冲区。</w:t>
            </w:r>
          </w:p>
        </w:tc>
        <w:tc>
          <w:tcPr>
            <w:tcW w:w="5676" w:type="dxa"/>
          </w:tcPr>
          <w:p>
            <w:pPr>
              <w:pStyle w:val="12"/>
              <w:rPr>
                <w:b/>
                <w:sz w:val="20"/>
              </w:rPr>
            </w:pPr>
          </w:p>
          <w:p>
            <w:pPr>
              <w:pStyle w:val="12"/>
              <w:spacing w:before="5"/>
              <w:rPr>
                <w:b/>
                <w:sz w:val="15"/>
              </w:rPr>
            </w:pPr>
          </w:p>
          <w:p>
            <w:pPr>
              <w:pStyle w:val="12"/>
              <w:spacing w:line="230" w:lineRule="auto"/>
              <w:ind w:left="109" w:right="80"/>
              <w:rPr>
                <w:sz w:val="21"/>
              </w:rPr>
            </w:pPr>
            <w:r>
              <w:rPr>
                <w:spacing w:val="-10"/>
                <w:sz w:val="21"/>
              </w:rPr>
              <w:t>《关于进一步加强涉及自然保护区开发建设活动监督管理的通</w:t>
            </w:r>
            <w:r>
              <w:rPr>
                <w:spacing w:val="-68"/>
                <w:sz w:val="21"/>
              </w:rPr>
              <w:t>知》</w:t>
            </w:r>
            <w:r>
              <w:rPr>
                <w:spacing w:val="-20"/>
                <w:sz w:val="21"/>
              </w:rPr>
              <w:t>（环发</w:t>
            </w:r>
            <w:r>
              <w:rPr>
                <w:spacing w:val="-9"/>
                <w:sz w:val="21"/>
              </w:rPr>
              <w:t>[2015]57</w:t>
            </w:r>
            <w:r>
              <w:rPr>
                <w:spacing w:val="-44"/>
                <w:sz w:val="21"/>
              </w:rPr>
              <w:t xml:space="preserve"> 号</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tcPr>
          <w:p>
            <w:pPr>
              <w:pStyle w:val="12"/>
              <w:rPr>
                <w:b/>
                <w:sz w:val="20"/>
              </w:rPr>
            </w:pPr>
          </w:p>
          <w:p>
            <w:pPr>
              <w:pStyle w:val="12"/>
              <w:spacing w:before="5"/>
              <w:rPr>
                <w:b/>
                <w:sz w:val="25"/>
              </w:rPr>
            </w:pPr>
          </w:p>
          <w:p>
            <w:pPr>
              <w:pStyle w:val="12"/>
              <w:ind w:left="514"/>
              <w:rPr>
                <w:sz w:val="21"/>
              </w:rPr>
            </w:pPr>
            <w:r>
              <w:rPr>
                <w:sz w:val="21"/>
              </w:rPr>
              <w:t>湿地修复要求</w:t>
            </w:r>
          </w:p>
        </w:tc>
        <w:tc>
          <w:tcPr>
            <w:tcW w:w="11723" w:type="dxa"/>
          </w:tcPr>
          <w:p>
            <w:pPr>
              <w:pStyle w:val="12"/>
              <w:numPr>
                <w:ilvl w:val="0"/>
                <w:numId w:val="14"/>
              </w:numPr>
              <w:tabs>
                <w:tab w:val="left" w:pos="322"/>
              </w:tabs>
              <w:spacing w:before="5" w:line="213" w:lineRule="auto"/>
              <w:ind w:right="96" w:firstLine="0"/>
              <w:jc w:val="both"/>
              <w:rPr>
                <w:sz w:val="21"/>
              </w:rPr>
            </w:pPr>
            <w:r>
              <w:rPr>
                <w:spacing w:val="-5"/>
                <w:sz w:val="21"/>
              </w:rPr>
              <w:t>对于功能退化严重的自然湿地进行必要的人工修复和综合整治，优先修复生态功能重要且退化严重的重要湿地。通过污染治</w:t>
            </w:r>
            <w:r>
              <w:rPr>
                <w:spacing w:val="-9"/>
                <w:sz w:val="21"/>
              </w:rPr>
              <w:t>理、河湖水系连通、生态隔离带建设、生物多样性保护、面山植被恢复、生态移民和湿地有害生物防治等措施，逐步改善湿地</w:t>
            </w:r>
            <w:r>
              <w:rPr>
                <w:spacing w:val="-5"/>
                <w:sz w:val="21"/>
              </w:rPr>
              <w:t>生态环境。</w:t>
            </w:r>
          </w:p>
          <w:p>
            <w:pPr>
              <w:pStyle w:val="12"/>
              <w:numPr>
                <w:ilvl w:val="0"/>
                <w:numId w:val="14"/>
              </w:numPr>
              <w:tabs>
                <w:tab w:val="left" w:pos="322"/>
              </w:tabs>
              <w:spacing w:before="2" w:line="213" w:lineRule="auto"/>
              <w:ind w:right="48" w:firstLine="0"/>
              <w:rPr>
                <w:sz w:val="21"/>
              </w:rPr>
            </w:pPr>
            <w:r>
              <w:rPr>
                <w:spacing w:val="-3"/>
                <w:sz w:val="21"/>
              </w:rPr>
              <w:t>恢复和增加湿地面积，确保湿地面积不减少是湿地保护的重要任务。各地应积极制定湿地恢复方案和措施，通过退耕还湿、禁牧、限牧、生态补水、新建人工湿地等措施恢复或增加湿地面积。</w:t>
            </w:r>
          </w:p>
          <w:p>
            <w:pPr>
              <w:pStyle w:val="12"/>
              <w:numPr>
                <w:ilvl w:val="0"/>
                <w:numId w:val="14"/>
              </w:numPr>
              <w:tabs>
                <w:tab w:val="left" w:pos="322"/>
              </w:tabs>
              <w:spacing w:line="216" w:lineRule="exact"/>
              <w:ind w:left="321"/>
              <w:rPr>
                <w:sz w:val="21"/>
              </w:rPr>
            </w:pPr>
            <w:r>
              <w:rPr>
                <w:spacing w:val="-8"/>
                <w:sz w:val="21"/>
              </w:rPr>
              <w:t>重要湿地评价、退化湿地评估等规程或标准和国家相关部门的规程或标准，建立我省湿地监测评价体系，通过遥感监测、样</w:t>
            </w:r>
          </w:p>
        </w:tc>
        <w:tc>
          <w:tcPr>
            <w:tcW w:w="5676" w:type="dxa"/>
          </w:tcPr>
          <w:p>
            <w:pPr>
              <w:pStyle w:val="12"/>
              <w:rPr>
                <w:b/>
                <w:sz w:val="20"/>
              </w:rPr>
            </w:pPr>
          </w:p>
          <w:p>
            <w:pPr>
              <w:pStyle w:val="12"/>
              <w:spacing w:before="7"/>
              <w:rPr>
                <w:b/>
                <w:sz w:val="16"/>
              </w:rPr>
            </w:pPr>
          </w:p>
          <w:p>
            <w:pPr>
              <w:pStyle w:val="12"/>
              <w:spacing w:line="230" w:lineRule="auto"/>
              <w:ind w:left="109" w:right="81"/>
              <w:rPr>
                <w:sz w:val="21"/>
              </w:rPr>
            </w:pPr>
            <w:r>
              <w:rPr>
                <w:spacing w:val="-17"/>
                <w:sz w:val="21"/>
              </w:rPr>
              <w:t>《省人民政府办公厅关于印发贵州省湿地保护修复制度实施方案</w:t>
            </w:r>
            <w:r>
              <w:rPr>
                <w:spacing w:val="-20"/>
                <w:sz w:val="21"/>
              </w:rPr>
              <w:t>的通知》黔府办发〔</w:t>
            </w:r>
            <w:r>
              <w:rPr>
                <w:spacing w:val="-10"/>
                <w:sz w:val="21"/>
              </w:rPr>
              <w:t>2017</w:t>
            </w:r>
            <w:r>
              <w:rPr>
                <w:spacing w:val="-20"/>
                <w:sz w:val="21"/>
              </w:rPr>
              <w:t>〕</w:t>
            </w:r>
            <w:r>
              <w:rPr>
                <w:spacing w:val="-5"/>
                <w:sz w:val="21"/>
              </w:rPr>
              <w:t>80</w:t>
            </w:r>
            <w:r>
              <w:rPr>
                <w:spacing w:val="-34"/>
                <w:sz w:val="21"/>
              </w:rPr>
              <w:t xml:space="preserve"> 号</w:t>
            </w:r>
          </w:p>
        </w:tc>
      </w:tr>
    </w:tbl>
    <w:p>
      <w:pPr>
        <w:spacing w:line="230" w:lineRule="auto"/>
        <w:rPr>
          <w:sz w:val="21"/>
        </w:rPr>
        <w:sectPr>
          <w:pgSz w:w="23760" w:h="16790" w:orient="landscape"/>
          <w:pgMar w:top="1080" w:right="660" w:bottom="1080" w:left="860" w:header="0" w:footer="894" w:gutter="0"/>
          <w:cols w:space="720" w:num="1"/>
        </w:sectPr>
      </w:pPr>
    </w:p>
    <w:tbl>
      <w:tblPr>
        <w:tblStyle w:val="3"/>
        <w:tblW w:w="21094"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761"/>
        <w:gridCol w:w="415"/>
        <w:gridCol w:w="1869"/>
        <w:gridCol w:w="11723"/>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tcPr>
          <w:p>
            <w:pPr>
              <w:pStyle w:val="12"/>
              <w:spacing w:before="49" w:line="252" w:lineRule="exact"/>
              <w:ind w:left="112"/>
              <w:rPr>
                <w:b/>
                <w:sz w:val="21"/>
              </w:rPr>
            </w:pPr>
            <w:r>
              <w:rPr>
                <w:b/>
                <w:sz w:val="21"/>
              </w:rPr>
              <w:t>分类</w:t>
            </w:r>
          </w:p>
        </w:tc>
        <w:tc>
          <w:tcPr>
            <w:tcW w:w="761" w:type="dxa"/>
          </w:tcPr>
          <w:p>
            <w:pPr>
              <w:pStyle w:val="12"/>
              <w:spacing w:before="49" w:line="252" w:lineRule="exact"/>
              <w:ind w:left="168"/>
              <w:rPr>
                <w:b/>
                <w:sz w:val="21"/>
              </w:rPr>
            </w:pPr>
            <w:r>
              <w:rPr>
                <w:b/>
                <w:sz w:val="21"/>
              </w:rPr>
              <w:t>属性</w:t>
            </w:r>
          </w:p>
        </w:tc>
        <w:tc>
          <w:tcPr>
            <w:tcW w:w="2284" w:type="dxa"/>
            <w:gridSpan w:val="2"/>
          </w:tcPr>
          <w:p>
            <w:pPr>
              <w:pStyle w:val="12"/>
              <w:spacing w:before="49" w:line="252" w:lineRule="exact"/>
              <w:ind w:left="911" w:right="905"/>
              <w:jc w:val="center"/>
              <w:rPr>
                <w:b/>
                <w:sz w:val="21"/>
              </w:rPr>
            </w:pPr>
            <w:r>
              <w:rPr>
                <w:b/>
                <w:sz w:val="21"/>
              </w:rPr>
              <w:t>管控</w:t>
            </w:r>
          </w:p>
        </w:tc>
        <w:tc>
          <w:tcPr>
            <w:tcW w:w="11723" w:type="dxa"/>
          </w:tcPr>
          <w:p>
            <w:pPr>
              <w:pStyle w:val="12"/>
              <w:spacing w:before="49" w:line="252" w:lineRule="exact"/>
              <w:ind w:left="5315" w:right="5308"/>
              <w:jc w:val="center"/>
              <w:rPr>
                <w:b/>
                <w:sz w:val="21"/>
              </w:rPr>
            </w:pPr>
            <w:r>
              <w:rPr>
                <w:b/>
                <w:sz w:val="21"/>
              </w:rPr>
              <w:t>管控和要求</w:t>
            </w:r>
          </w:p>
        </w:tc>
        <w:tc>
          <w:tcPr>
            <w:tcW w:w="5676" w:type="dxa"/>
          </w:tcPr>
          <w:p>
            <w:pPr>
              <w:pStyle w:val="12"/>
              <w:spacing w:before="49" w:line="252" w:lineRule="exact"/>
              <w:ind w:left="2188" w:right="2178"/>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0" w:type="dxa"/>
            <w:tcBorders>
              <w:bottom w:val="single" w:color="000000" w:sz="4" w:space="0"/>
            </w:tcBorders>
          </w:tcPr>
          <w:p>
            <w:pPr>
              <w:pStyle w:val="12"/>
              <w:rPr>
                <w:rFonts w:ascii="Times New Roman"/>
                <w:sz w:val="20"/>
              </w:rPr>
            </w:pPr>
          </w:p>
        </w:tc>
        <w:tc>
          <w:tcPr>
            <w:tcW w:w="761" w:type="dxa"/>
            <w:tcBorders>
              <w:bottom w:val="single" w:color="000000" w:sz="4" w:space="0"/>
            </w:tcBorders>
          </w:tcPr>
          <w:p>
            <w:pPr>
              <w:pStyle w:val="12"/>
              <w:rPr>
                <w:rFonts w:ascii="Times New Roman"/>
                <w:sz w:val="20"/>
              </w:rPr>
            </w:pPr>
          </w:p>
        </w:tc>
        <w:tc>
          <w:tcPr>
            <w:tcW w:w="2284" w:type="dxa"/>
            <w:gridSpan w:val="2"/>
          </w:tcPr>
          <w:p>
            <w:pPr>
              <w:pStyle w:val="12"/>
              <w:rPr>
                <w:rFonts w:ascii="Times New Roman"/>
                <w:sz w:val="20"/>
              </w:rPr>
            </w:pPr>
          </w:p>
        </w:tc>
        <w:tc>
          <w:tcPr>
            <w:tcW w:w="11723" w:type="dxa"/>
          </w:tcPr>
          <w:p>
            <w:pPr>
              <w:pStyle w:val="12"/>
              <w:spacing w:line="251" w:lineRule="exact"/>
              <w:ind w:left="109"/>
              <w:rPr>
                <w:sz w:val="21"/>
              </w:rPr>
            </w:pPr>
            <w:r>
              <w:rPr>
                <w:sz w:val="21"/>
              </w:rPr>
              <w:t>地监测、专题监测等掌握全省湿地资源实时状况，为湿地保护修复决策和地方政府考核提供重要依据。</w:t>
            </w:r>
          </w:p>
        </w:tc>
        <w:tc>
          <w:tcPr>
            <w:tcW w:w="5676"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0" w:type="dxa"/>
            <w:vMerge w:val="restart"/>
            <w:tcBorders>
              <w:top w:val="single" w:color="000000" w:sz="4" w:space="0"/>
            </w:tcBorders>
          </w:tcPr>
          <w:p>
            <w:pPr>
              <w:pStyle w:val="12"/>
              <w:spacing w:before="5"/>
              <w:rPr>
                <w:b/>
                <w:sz w:val="26"/>
              </w:rPr>
            </w:pPr>
          </w:p>
          <w:p>
            <w:pPr>
              <w:pStyle w:val="12"/>
              <w:spacing w:before="1" w:line="199" w:lineRule="auto"/>
              <w:ind w:left="107" w:right="112"/>
              <w:jc w:val="both"/>
              <w:rPr>
                <w:sz w:val="21"/>
              </w:rPr>
            </w:pPr>
            <w:r>
              <w:rPr>
                <w:sz w:val="21"/>
              </w:rPr>
              <w:t>优先保护区</w:t>
            </w:r>
          </w:p>
        </w:tc>
        <w:tc>
          <w:tcPr>
            <w:tcW w:w="761" w:type="dxa"/>
            <w:vMerge w:val="restart"/>
            <w:tcBorders>
              <w:top w:val="single" w:color="000000" w:sz="4" w:space="0"/>
            </w:tcBorders>
          </w:tcPr>
          <w:p>
            <w:pPr>
              <w:pStyle w:val="12"/>
              <w:spacing w:before="5"/>
              <w:rPr>
                <w:b/>
                <w:sz w:val="26"/>
              </w:rPr>
            </w:pPr>
          </w:p>
          <w:p>
            <w:pPr>
              <w:pStyle w:val="12"/>
              <w:spacing w:before="1" w:line="199" w:lineRule="auto"/>
              <w:ind w:left="108" w:right="223"/>
              <w:jc w:val="both"/>
              <w:rPr>
                <w:sz w:val="21"/>
              </w:rPr>
            </w:pPr>
            <w:r>
              <w:rPr>
                <w:sz w:val="21"/>
              </w:rPr>
              <w:t>源头水保护区</w:t>
            </w:r>
          </w:p>
        </w:tc>
        <w:tc>
          <w:tcPr>
            <w:tcW w:w="415" w:type="dxa"/>
            <w:vMerge w:val="restart"/>
          </w:tcPr>
          <w:p>
            <w:pPr>
              <w:pStyle w:val="12"/>
              <w:spacing w:before="5" w:line="199" w:lineRule="auto"/>
              <w:ind w:left="108" w:right="88"/>
              <w:jc w:val="both"/>
              <w:rPr>
                <w:sz w:val="21"/>
              </w:rPr>
            </w:pPr>
            <w:r>
              <w:rPr>
                <w:sz w:val="21"/>
              </w:rPr>
              <w:t>空间布局约</w:t>
            </w:r>
          </w:p>
          <w:p>
            <w:pPr>
              <w:pStyle w:val="12"/>
              <w:spacing w:line="192" w:lineRule="exact"/>
              <w:ind w:left="108"/>
              <w:rPr>
                <w:sz w:val="21"/>
              </w:rPr>
            </w:pPr>
            <w:r>
              <w:rPr>
                <w:sz w:val="21"/>
              </w:rPr>
              <w:t>束</w:t>
            </w:r>
          </w:p>
        </w:tc>
        <w:tc>
          <w:tcPr>
            <w:tcW w:w="1869" w:type="dxa"/>
          </w:tcPr>
          <w:p>
            <w:pPr>
              <w:pStyle w:val="12"/>
              <w:spacing w:before="44" w:line="199" w:lineRule="auto"/>
              <w:ind w:left="514" w:right="188" w:hanging="315"/>
              <w:rPr>
                <w:sz w:val="21"/>
              </w:rPr>
            </w:pPr>
            <w:r>
              <w:rPr>
                <w:sz w:val="21"/>
              </w:rPr>
              <w:t>禁止开发建设活动的要求</w:t>
            </w:r>
          </w:p>
        </w:tc>
        <w:tc>
          <w:tcPr>
            <w:tcW w:w="11723" w:type="dxa"/>
          </w:tcPr>
          <w:p>
            <w:pPr>
              <w:pStyle w:val="12"/>
              <w:numPr>
                <w:ilvl w:val="0"/>
                <w:numId w:val="15"/>
              </w:numPr>
              <w:tabs>
                <w:tab w:val="left" w:pos="322"/>
              </w:tabs>
              <w:spacing w:before="8" w:line="246" w:lineRule="exact"/>
              <w:rPr>
                <w:sz w:val="21"/>
              </w:rPr>
            </w:pPr>
            <w:r>
              <w:rPr>
                <w:spacing w:val="-3"/>
                <w:sz w:val="21"/>
              </w:rPr>
              <w:t>不得在水体保护区内新建排污口。</w:t>
            </w:r>
          </w:p>
          <w:p>
            <w:pPr>
              <w:pStyle w:val="12"/>
              <w:numPr>
                <w:ilvl w:val="0"/>
                <w:numId w:val="15"/>
              </w:numPr>
              <w:tabs>
                <w:tab w:val="left" w:pos="322"/>
              </w:tabs>
              <w:spacing w:line="246" w:lineRule="exact"/>
              <w:rPr>
                <w:sz w:val="21"/>
              </w:rPr>
            </w:pPr>
            <w:r>
              <w:rPr>
                <w:spacing w:val="-3"/>
                <w:sz w:val="21"/>
              </w:rPr>
              <w:t>法律、法规等禁止的其他行为。</w:t>
            </w:r>
          </w:p>
        </w:tc>
        <w:tc>
          <w:tcPr>
            <w:tcW w:w="5676" w:type="dxa"/>
          </w:tcPr>
          <w:p>
            <w:pPr>
              <w:pStyle w:val="12"/>
              <w:spacing w:before="1"/>
              <w:ind w:left="109"/>
              <w:rPr>
                <w:sz w:val="21"/>
              </w:rPr>
            </w:pPr>
            <w:r>
              <w:rPr>
                <w:spacing w:val="-27"/>
                <w:sz w:val="21"/>
              </w:rPr>
              <w:t>《中华人民共和国水污染防治法》</w:t>
            </w:r>
            <w:r>
              <w:rPr>
                <w:spacing w:val="-20"/>
                <w:sz w:val="21"/>
              </w:rPr>
              <w:t>（</w:t>
            </w:r>
            <w:r>
              <w:rPr>
                <w:spacing w:val="-10"/>
                <w:sz w:val="21"/>
              </w:rPr>
              <w:t>201</w:t>
            </w:r>
            <w:r>
              <w:rPr>
                <w:sz w:val="21"/>
              </w:rPr>
              <w:t>7</w:t>
            </w:r>
            <w:r>
              <w:rPr>
                <w:spacing w:val="-67"/>
                <w:sz w:val="21"/>
              </w:rPr>
              <w:t xml:space="preserve"> </w:t>
            </w:r>
            <w:r>
              <w:rPr>
                <w:spacing w:val="28"/>
                <w:sz w:val="21"/>
              </w:rPr>
              <w:t>年</w:t>
            </w:r>
            <w:r>
              <w:rPr>
                <w:sz w:val="21"/>
              </w:rPr>
              <w:t>6</w:t>
            </w:r>
            <w:r>
              <w:rPr>
                <w:spacing w:val="-67"/>
                <w:sz w:val="21"/>
              </w:rPr>
              <w:t xml:space="preserve"> </w:t>
            </w:r>
            <w:r>
              <w:rPr>
                <w:spacing w:val="-20"/>
                <w:sz w:val="21"/>
              </w:rPr>
              <w:t>月第二次修订</w:t>
            </w:r>
            <w:r>
              <w:rPr>
                <w:spacing w:val="-11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tcPr>
          <w:p>
            <w:pPr>
              <w:pStyle w:val="12"/>
              <w:spacing w:before="8"/>
              <w:rPr>
                <w:b/>
                <w:sz w:val="14"/>
              </w:rPr>
            </w:pPr>
          </w:p>
          <w:p>
            <w:pPr>
              <w:pStyle w:val="12"/>
              <w:spacing w:line="196" w:lineRule="auto"/>
              <w:ind w:left="305" w:right="188" w:hanging="106"/>
              <w:rPr>
                <w:sz w:val="21"/>
              </w:rPr>
            </w:pPr>
            <w:r>
              <w:rPr>
                <w:sz w:val="21"/>
              </w:rPr>
              <w:t>允许开发建设活动的特殊要求</w:t>
            </w:r>
          </w:p>
        </w:tc>
        <w:tc>
          <w:tcPr>
            <w:tcW w:w="11723" w:type="dxa"/>
          </w:tcPr>
          <w:p>
            <w:pPr>
              <w:pStyle w:val="12"/>
              <w:numPr>
                <w:ilvl w:val="0"/>
                <w:numId w:val="16"/>
              </w:numPr>
              <w:tabs>
                <w:tab w:val="left" w:pos="322"/>
              </w:tabs>
              <w:spacing w:before="150" w:line="245" w:lineRule="exact"/>
              <w:rPr>
                <w:sz w:val="21"/>
              </w:rPr>
            </w:pPr>
            <w:r>
              <w:rPr>
                <w:spacing w:val="-3"/>
                <w:sz w:val="21"/>
              </w:rPr>
              <w:t>在保护区附近新建排污口，应当保证保护区水体不受污染；</w:t>
            </w:r>
          </w:p>
          <w:p>
            <w:pPr>
              <w:pStyle w:val="12"/>
              <w:numPr>
                <w:ilvl w:val="0"/>
                <w:numId w:val="16"/>
              </w:numPr>
              <w:tabs>
                <w:tab w:val="left" w:pos="322"/>
              </w:tabs>
              <w:spacing w:line="245" w:lineRule="exact"/>
              <w:rPr>
                <w:sz w:val="21"/>
              </w:rPr>
            </w:pPr>
            <w:r>
              <w:rPr>
                <w:spacing w:val="-3"/>
                <w:sz w:val="21"/>
              </w:rPr>
              <w:t>符合相关规划的防洪、供水、灌溉等水利工程项目。</w:t>
            </w:r>
          </w:p>
        </w:tc>
        <w:tc>
          <w:tcPr>
            <w:tcW w:w="5676" w:type="dxa"/>
          </w:tcPr>
          <w:p>
            <w:pPr>
              <w:pStyle w:val="12"/>
              <w:spacing w:before="3"/>
              <w:rPr>
                <w:b/>
                <w:sz w:val="21"/>
              </w:rPr>
            </w:pPr>
          </w:p>
          <w:p>
            <w:pPr>
              <w:pStyle w:val="12"/>
              <w:ind w:left="109"/>
              <w:rPr>
                <w:sz w:val="21"/>
              </w:rPr>
            </w:pPr>
            <w:r>
              <w:rPr>
                <w:spacing w:val="-29"/>
                <w:sz w:val="21"/>
              </w:rPr>
              <w:t>《贵州省水污染防治条例》</w:t>
            </w:r>
            <w:r>
              <w:rPr>
                <w:spacing w:val="-20"/>
                <w:sz w:val="21"/>
              </w:rPr>
              <w:t>（</w:t>
            </w:r>
            <w:r>
              <w:rPr>
                <w:spacing w:val="-10"/>
                <w:sz w:val="21"/>
              </w:rPr>
              <w:t>201</w:t>
            </w:r>
            <w:r>
              <w:rPr>
                <w:sz w:val="21"/>
              </w:rPr>
              <w:t>8</w:t>
            </w:r>
            <w:r>
              <w:rPr>
                <w:spacing w:val="-67"/>
                <w:sz w:val="21"/>
              </w:rPr>
              <w:t xml:space="preserve"> </w:t>
            </w:r>
            <w:r>
              <w:rPr>
                <w:spacing w:val="-20"/>
                <w:sz w:val="21"/>
              </w:rPr>
              <w:t>年修正</w:t>
            </w:r>
            <w:r>
              <w:rPr>
                <w:spacing w:val="-11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50"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15"/>
              </w:rPr>
            </w:pPr>
          </w:p>
          <w:p>
            <w:pPr>
              <w:pStyle w:val="12"/>
              <w:spacing w:line="199" w:lineRule="auto"/>
              <w:ind w:left="115" w:right="105"/>
              <w:jc w:val="both"/>
              <w:rPr>
                <w:sz w:val="21"/>
              </w:rPr>
            </w:pPr>
            <w:r>
              <w:rPr>
                <w:sz w:val="21"/>
              </w:rPr>
              <w:t>重点管控区</w:t>
            </w:r>
          </w:p>
        </w:tc>
        <w:tc>
          <w:tcPr>
            <w:tcW w:w="761"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5"/>
              <w:rPr>
                <w:b/>
                <w:sz w:val="24"/>
              </w:rPr>
            </w:pPr>
          </w:p>
          <w:p>
            <w:pPr>
              <w:pStyle w:val="12"/>
              <w:spacing w:before="1" w:line="196" w:lineRule="auto"/>
              <w:ind w:left="108" w:right="223"/>
              <w:rPr>
                <w:sz w:val="21"/>
              </w:rPr>
            </w:pPr>
            <w:r>
              <w:rPr>
                <w:sz w:val="21"/>
              </w:rPr>
              <w:t>工业污染</w:t>
            </w:r>
          </w:p>
        </w:tc>
        <w:tc>
          <w:tcPr>
            <w:tcW w:w="415" w:type="dxa"/>
            <w:vMerge w:val="restart"/>
            <w:tcBorders>
              <w:bottom w:val="single" w:color="000000" w:sz="4" w:space="0"/>
            </w:tcBorders>
          </w:tcPr>
          <w:p>
            <w:pPr>
              <w:pStyle w:val="12"/>
              <w:rPr>
                <w:b/>
                <w:sz w:val="20"/>
              </w:rPr>
            </w:pPr>
          </w:p>
          <w:p>
            <w:pPr>
              <w:pStyle w:val="12"/>
              <w:rPr>
                <w:b/>
                <w:sz w:val="20"/>
              </w:rPr>
            </w:pPr>
          </w:p>
          <w:p>
            <w:pPr>
              <w:pStyle w:val="12"/>
              <w:rPr>
                <w:b/>
                <w:sz w:val="20"/>
              </w:rPr>
            </w:pPr>
          </w:p>
          <w:p>
            <w:pPr>
              <w:pStyle w:val="12"/>
              <w:spacing w:before="9"/>
              <w:rPr>
                <w:b/>
                <w:sz w:val="29"/>
              </w:rPr>
            </w:pPr>
          </w:p>
          <w:p>
            <w:pPr>
              <w:pStyle w:val="12"/>
              <w:spacing w:line="196" w:lineRule="auto"/>
              <w:ind w:left="108" w:right="88"/>
              <w:jc w:val="both"/>
              <w:rPr>
                <w:sz w:val="21"/>
              </w:rPr>
            </w:pPr>
            <w:r>
              <w:rPr>
                <w:sz w:val="21"/>
              </w:rPr>
              <w:t>空间布局约束</w:t>
            </w:r>
          </w:p>
        </w:tc>
        <w:tc>
          <w:tcPr>
            <w:tcW w:w="1869" w:type="dxa"/>
            <w:vMerge w:val="restart"/>
          </w:tcPr>
          <w:p>
            <w:pPr>
              <w:pStyle w:val="12"/>
              <w:spacing w:before="2"/>
              <w:rPr>
                <w:b/>
                <w:sz w:val="24"/>
              </w:rPr>
            </w:pPr>
          </w:p>
          <w:p>
            <w:pPr>
              <w:pStyle w:val="12"/>
              <w:spacing w:line="196" w:lineRule="auto"/>
              <w:ind w:left="514" w:right="188" w:hanging="315"/>
              <w:rPr>
                <w:sz w:val="21"/>
              </w:rPr>
            </w:pPr>
            <w:r>
              <w:rPr>
                <w:sz w:val="21"/>
              </w:rPr>
              <w:t>禁止开发建设活动的要求</w:t>
            </w:r>
          </w:p>
        </w:tc>
        <w:tc>
          <w:tcPr>
            <w:tcW w:w="11723" w:type="dxa"/>
            <w:tcBorders>
              <w:bottom w:val="single" w:color="000000" w:sz="4" w:space="0"/>
            </w:tcBorders>
          </w:tcPr>
          <w:p>
            <w:pPr>
              <w:pStyle w:val="12"/>
              <w:spacing w:before="175" w:line="196" w:lineRule="auto"/>
              <w:ind w:left="109" w:right="-15"/>
              <w:rPr>
                <w:sz w:val="21"/>
              </w:rPr>
            </w:pPr>
            <w:r>
              <w:rPr>
                <w:sz w:val="21"/>
              </w:rPr>
              <w:t>1.</w:t>
            </w:r>
            <w:r>
              <w:rPr>
                <w:spacing w:val="-15"/>
                <w:sz w:val="21"/>
              </w:rPr>
              <w:t>禁止新建不符合国家产业政策的小型造纸、制革、印染、染料、炼焦、炼硫、炼砷、炼汞、炼油、电镀、农药、石棉、水泥、</w:t>
            </w:r>
            <w:r>
              <w:rPr>
                <w:spacing w:val="-7"/>
                <w:sz w:val="21"/>
              </w:rPr>
              <w:t>玻璃、钢铁、火电以及其他严重污染水环境的生产项目；</w:t>
            </w:r>
          </w:p>
        </w:tc>
        <w:tc>
          <w:tcPr>
            <w:tcW w:w="5676" w:type="dxa"/>
            <w:tcBorders>
              <w:bottom w:val="single" w:color="000000" w:sz="4" w:space="0"/>
            </w:tcBorders>
          </w:tcPr>
          <w:p>
            <w:pPr>
              <w:pStyle w:val="12"/>
              <w:spacing w:before="3" w:line="260" w:lineRule="exact"/>
              <w:ind w:left="109" w:right="82"/>
              <w:jc w:val="both"/>
              <w:rPr>
                <w:sz w:val="21"/>
              </w:rPr>
            </w:pPr>
            <w:r>
              <w:rPr>
                <w:spacing w:val="-25"/>
                <w:sz w:val="21"/>
              </w:rPr>
              <w:t>《国务院关于印发&lt;水污染防治行动计划&gt;的通知》</w:t>
            </w:r>
            <w:r>
              <w:rPr>
                <w:spacing w:val="-20"/>
                <w:sz w:val="21"/>
              </w:rPr>
              <w:t>（国发</w:t>
            </w:r>
            <w:r>
              <w:rPr>
                <w:spacing w:val="-10"/>
                <w:sz w:val="21"/>
              </w:rPr>
              <w:t xml:space="preserve">[2015]17 </w:t>
            </w:r>
            <w:r>
              <w:rPr>
                <w:sz w:val="21"/>
              </w:rPr>
              <w:t>号</w:t>
            </w:r>
            <w:r>
              <w:rPr>
                <w:spacing w:val="-97"/>
                <w:sz w:val="21"/>
              </w:rPr>
              <w:t>）</w:t>
            </w:r>
            <w:r>
              <w:rPr>
                <w:spacing w:val="-11"/>
                <w:sz w:val="21"/>
              </w:rPr>
              <w:t>、《重点流域水污染防治规划</w:t>
            </w:r>
            <w:r>
              <w:rPr>
                <w:spacing w:val="-8"/>
                <w:sz w:val="21"/>
              </w:rPr>
              <w:t>（2016-2020</w:t>
            </w:r>
            <w:r>
              <w:rPr>
                <w:spacing w:val="22"/>
                <w:sz w:val="21"/>
              </w:rPr>
              <w:t xml:space="preserve"> 年</w:t>
            </w:r>
            <w:r>
              <w:rPr>
                <w:spacing w:val="-94"/>
                <w:sz w:val="21"/>
              </w:rPr>
              <w:t>）》</w:t>
            </w:r>
            <w:r>
              <w:rPr>
                <w:sz w:val="21"/>
              </w:rPr>
              <w:t>（环水体</w:t>
            </w:r>
            <w:r>
              <w:rPr>
                <w:spacing w:val="-9"/>
                <w:sz w:val="21"/>
              </w:rPr>
              <w:t>[2017]142</w:t>
            </w:r>
            <w:r>
              <w:rPr>
                <w:spacing w:val="-44"/>
                <w:sz w:val="21"/>
              </w:rPr>
              <w:t xml:space="preserve"> 号</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38" w:lineRule="exact"/>
              <w:ind w:left="109"/>
              <w:rPr>
                <w:sz w:val="21"/>
              </w:rPr>
            </w:pPr>
            <w:r>
              <w:rPr>
                <w:sz w:val="21"/>
              </w:rPr>
              <w:t>2.城市建成区内不得建设污染严重、影响居民生活的化工、冶金、造纸、钢铁等重污染工业项目；</w:t>
            </w:r>
          </w:p>
        </w:tc>
        <w:tc>
          <w:tcPr>
            <w:tcW w:w="5676" w:type="dxa"/>
            <w:tcBorders>
              <w:top w:val="single" w:color="000000" w:sz="4" w:space="0"/>
              <w:bottom w:val="single" w:color="000000" w:sz="4" w:space="0"/>
            </w:tcBorders>
          </w:tcPr>
          <w:p>
            <w:pPr>
              <w:pStyle w:val="12"/>
              <w:spacing w:line="238" w:lineRule="exact"/>
              <w:ind w:left="109"/>
              <w:rPr>
                <w:sz w:val="21"/>
              </w:rPr>
            </w:pPr>
            <w:r>
              <w:rPr>
                <w:spacing w:val="-29"/>
                <w:sz w:val="21"/>
              </w:rPr>
              <w:t>《贵州省环境保护条例》</w:t>
            </w:r>
            <w:r>
              <w:rPr>
                <w:spacing w:val="-20"/>
                <w:sz w:val="21"/>
              </w:rPr>
              <w:t>（</w:t>
            </w:r>
            <w:r>
              <w:rPr>
                <w:spacing w:val="-10"/>
                <w:sz w:val="21"/>
              </w:rPr>
              <w:t>200</w:t>
            </w:r>
            <w:r>
              <w:rPr>
                <w:sz w:val="21"/>
              </w:rPr>
              <w:t>7</w:t>
            </w:r>
            <w:r>
              <w:rPr>
                <w:spacing w:val="-67"/>
                <w:sz w:val="21"/>
              </w:rPr>
              <w:t xml:space="preserve"> </w:t>
            </w:r>
            <w:r>
              <w:rPr>
                <w:spacing w:val="-20"/>
                <w:sz w:val="21"/>
              </w:rPr>
              <w:t>年通过</w:t>
            </w:r>
            <w:r>
              <w:rPr>
                <w:spacing w:val="-11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restart"/>
          </w:tcPr>
          <w:p>
            <w:pPr>
              <w:pStyle w:val="12"/>
              <w:rPr>
                <w:b/>
                <w:sz w:val="20"/>
              </w:rPr>
            </w:pPr>
          </w:p>
          <w:p>
            <w:pPr>
              <w:pStyle w:val="12"/>
              <w:spacing w:before="167" w:line="196" w:lineRule="auto"/>
              <w:ind w:left="305" w:right="188" w:hanging="106"/>
              <w:rPr>
                <w:sz w:val="21"/>
              </w:rPr>
            </w:pPr>
            <w:r>
              <w:rPr>
                <w:sz w:val="21"/>
              </w:rPr>
              <w:t>允许开发建设活动的特殊要求</w:t>
            </w:r>
          </w:p>
        </w:tc>
        <w:tc>
          <w:tcPr>
            <w:tcW w:w="11723" w:type="dxa"/>
            <w:tcBorders>
              <w:top w:val="single" w:color="000000" w:sz="4" w:space="0"/>
              <w:bottom w:val="single" w:color="000000" w:sz="4" w:space="0"/>
            </w:tcBorders>
          </w:tcPr>
          <w:p>
            <w:pPr>
              <w:pStyle w:val="12"/>
              <w:spacing w:before="34" w:line="196" w:lineRule="auto"/>
              <w:ind w:left="109" w:right="94"/>
              <w:rPr>
                <w:sz w:val="21"/>
              </w:rPr>
            </w:pPr>
            <w:r>
              <w:rPr>
                <w:sz w:val="21"/>
              </w:rPr>
              <w:t>1.</w:t>
            </w:r>
            <w:r>
              <w:rPr>
                <w:spacing w:val="-10"/>
                <w:sz w:val="21"/>
              </w:rPr>
              <w:t>新</w:t>
            </w:r>
            <w:r>
              <w:rPr>
                <w:spacing w:val="-3"/>
                <w:sz w:val="21"/>
              </w:rPr>
              <w:t>（</w:t>
            </w:r>
            <w:r>
              <w:rPr>
                <w:spacing w:val="-5"/>
                <w:sz w:val="21"/>
              </w:rPr>
              <w:t>改、扩</w:t>
            </w:r>
            <w:r>
              <w:rPr>
                <w:spacing w:val="-10"/>
                <w:sz w:val="21"/>
              </w:rPr>
              <w:t>）</w:t>
            </w:r>
            <w:r>
              <w:rPr>
                <w:spacing w:val="-5"/>
                <w:sz w:val="21"/>
              </w:rPr>
              <w:t>建排放重点水污染物的工业项目应当进入开发区、工业园区等工业集聚区。鼓励和引导现有工业项目入驻工业</w:t>
            </w:r>
            <w:r>
              <w:rPr>
                <w:spacing w:val="-4"/>
                <w:sz w:val="21"/>
              </w:rPr>
              <w:t>集聚区。</w:t>
            </w:r>
          </w:p>
        </w:tc>
        <w:tc>
          <w:tcPr>
            <w:tcW w:w="5676" w:type="dxa"/>
            <w:tcBorders>
              <w:top w:val="single" w:color="000000" w:sz="4" w:space="0"/>
              <w:bottom w:val="single" w:color="000000" w:sz="4" w:space="0"/>
            </w:tcBorders>
          </w:tcPr>
          <w:p>
            <w:pPr>
              <w:pStyle w:val="12"/>
              <w:spacing w:before="119"/>
              <w:ind w:left="109"/>
              <w:rPr>
                <w:sz w:val="21"/>
              </w:rPr>
            </w:pPr>
            <w:r>
              <w:rPr>
                <w:sz w:val="21"/>
              </w:rPr>
              <w:t>《贵州省水污染防治条例》（2018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 w:line="220" w:lineRule="exact"/>
              <w:ind w:left="109" w:right="97"/>
              <w:rPr>
                <w:sz w:val="21"/>
              </w:rPr>
            </w:pPr>
            <w:r>
              <w:rPr>
                <w:sz w:val="21"/>
              </w:rPr>
              <w:t>2.</w:t>
            </w:r>
            <w:r>
              <w:rPr>
                <w:spacing w:val="-7"/>
                <w:sz w:val="21"/>
              </w:rPr>
              <w:t>工业集聚区应当统筹规划、建设工业废水集中处理设施，并安装自动监测设施，与生态环境主管部门的污染源自动监控系统</w:t>
            </w:r>
            <w:r>
              <w:rPr>
                <w:spacing w:val="-5"/>
                <w:sz w:val="21"/>
              </w:rPr>
              <w:t>联网，实行工业废水集中处理。</w:t>
            </w:r>
          </w:p>
        </w:tc>
        <w:tc>
          <w:tcPr>
            <w:tcW w:w="5676" w:type="dxa"/>
            <w:tcBorders>
              <w:top w:val="single" w:color="000000" w:sz="4" w:space="0"/>
              <w:bottom w:val="single" w:color="000000" w:sz="4" w:space="0"/>
            </w:tcBorders>
          </w:tcPr>
          <w:p>
            <w:pPr>
              <w:pStyle w:val="12"/>
              <w:spacing w:before="89"/>
              <w:ind w:left="109"/>
              <w:rPr>
                <w:sz w:val="21"/>
              </w:rPr>
            </w:pPr>
            <w:r>
              <w:rPr>
                <w:sz w:val="21"/>
              </w:rPr>
              <w:t>《贵州省水污染防治条例》（2018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tcBorders>
          </w:tcPr>
          <w:p>
            <w:pPr>
              <w:pStyle w:val="12"/>
              <w:spacing w:before="13"/>
              <w:ind w:left="109"/>
              <w:rPr>
                <w:sz w:val="21"/>
              </w:rPr>
            </w:pPr>
            <w:r>
              <w:rPr>
                <w:sz w:val="21"/>
              </w:rPr>
              <w:t>3.在能源、冶金、建材、有色、化工、电镀、造纸、印染、农副食品加工等行业，推进清洁生产改造。</w:t>
            </w:r>
          </w:p>
        </w:tc>
        <w:tc>
          <w:tcPr>
            <w:tcW w:w="5676" w:type="dxa"/>
            <w:tcBorders>
              <w:top w:val="single" w:color="000000" w:sz="4" w:space="0"/>
              <w:bottom w:val="single" w:color="000000" w:sz="4" w:space="0"/>
            </w:tcBorders>
          </w:tcPr>
          <w:p>
            <w:pPr>
              <w:pStyle w:val="12"/>
              <w:spacing w:before="13"/>
              <w:ind w:left="109"/>
              <w:rPr>
                <w:sz w:val="21"/>
              </w:rPr>
            </w:pPr>
            <w:r>
              <w:rPr>
                <w:sz w:val="21"/>
              </w:rPr>
              <w:t>《全面加强生态环境保护、坚决打好污染防治攻坚战》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restart"/>
          </w:tcPr>
          <w:p>
            <w:pPr>
              <w:pStyle w:val="12"/>
              <w:rPr>
                <w:b/>
                <w:sz w:val="24"/>
              </w:rPr>
            </w:pPr>
          </w:p>
          <w:p>
            <w:pPr>
              <w:pStyle w:val="12"/>
              <w:spacing w:line="199" w:lineRule="auto"/>
              <w:ind w:left="199" w:right="188"/>
              <w:jc w:val="center"/>
              <w:rPr>
                <w:sz w:val="21"/>
              </w:rPr>
            </w:pPr>
            <w:r>
              <w:rPr>
                <w:sz w:val="21"/>
              </w:rPr>
              <w:t>不符合空间布局要求活动的退出要求</w:t>
            </w:r>
          </w:p>
        </w:tc>
        <w:tc>
          <w:tcPr>
            <w:tcW w:w="11723" w:type="dxa"/>
            <w:tcBorders>
              <w:bottom w:val="single" w:color="000000" w:sz="4" w:space="0"/>
            </w:tcBorders>
          </w:tcPr>
          <w:p>
            <w:pPr>
              <w:pStyle w:val="12"/>
              <w:spacing w:before="137"/>
              <w:ind w:left="109"/>
              <w:rPr>
                <w:sz w:val="21"/>
              </w:rPr>
            </w:pPr>
            <w:r>
              <w:rPr>
                <w:sz w:val="21"/>
              </w:rPr>
              <w:t>1.依法取缔、撤销不符合有关规划、区划要求或位于环境敏感区域内的工业企业、工业园区与产业园区。</w:t>
            </w:r>
          </w:p>
        </w:tc>
        <w:tc>
          <w:tcPr>
            <w:tcW w:w="5676" w:type="dxa"/>
            <w:vMerge w:val="restart"/>
            <w:tcBorders>
              <w:top w:val="single" w:color="000000" w:sz="4" w:space="0"/>
              <w:bottom w:val="single" w:color="000000" w:sz="4" w:space="0"/>
            </w:tcBorders>
          </w:tcPr>
          <w:p>
            <w:pPr>
              <w:pStyle w:val="12"/>
              <w:spacing w:before="10"/>
              <w:rPr>
                <w:b/>
                <w:sz w:val="21"/>
              </w:rPr>
            </w:pPr>
          </w:p>
          <w:p>
            <w:pPr>
              <w:pStyle w:val="12"/>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32" w:lineRule="exact"/>
              <w:ind w:left="109"/>
              <w:rPr>
                <w:sz w:val="21"/>
              </w:rPr>
            </w:pPr>
            <w:r>
              <w:rPr>
                <w:sz w:val="21"/>
              </w:rPr>
              <w:t>2.城市建成区内现有钢铁、有色金属、造纸、印染、原料药制造、化工等污染严重的企业应有序搬迁入园改造或依法关闭。</w:t>
            </w:r>
          </w:p>
        </w:tc>
        <w:tc>
          <w:tcPr>
            <w:tcW w:w="5676"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tcBorders>
          </w:tcPr>
          <w:p>
            <w:pPr>
              <w:pStyle w:val="12"/>
              <w:spacing w:line="214" w:lineRule="exact"/>
              <w:ind w:left="109"/>
              <w:rPr>
                <w:sz w:val="21"/>
              </w:rPr>
            </w:pPr>
            <w:r>
              <w:rPr>
                <w:sz w:val="21"/>
              </w:rPr>
              <w:t>3.全部取缔不符合国家产业政策的小型造纸、制革、印染、染料、炼焦、炼硫、炼砷、炼油、农药、煤矿开采及洗选、铁矿洗</w:t>
            </w:r>
          </w:p>
          <w:p>
            <w:pPr>
              <w:pStyle w:val="12"/>
              <w:spacing w:line="208" w:lineRule="exact"/>
              <w:ind w:left="109"/>
              <w:rPr>
                <w:sz w:val="21"/>
              </w:rPr>
            </w:pPr>
            <w:r>
              <w:rPr>
                <w:sz w:val="21"/>
              </w:rPr>
              <w:t>选、铅锌冶炼、有色金属等严重污染水环境的生产项目。</w:t>
            </w:r>
          </w:p>
        </w:tc>
        <w:tc>
          <w:tcPr>
            <w:tcW w:w="5676" w:type="dxa"/>
            <w:tcBorders>
              <w:top w:val="single" w:color="000000" w:sz="4" w:space="0"/>
              <w:bottom w:val="single" w:color="000000" w:sz="4" w:space="0"/>
            </w:tcBorders>
          </w:tcPr>
          <w:p>
            <w:pPr>
              <w:pStyle w:val="12"/>
              <w:spacing w:before="89"/>
              <w:ind w:left="109"/>
              <w:rPr>
                <w:sz w:val="21"/>
              </w:rPr>
            </w:pPr>
            <w:r>
              <w:rPr>
                <w:spacing w:val="-27"/>
                <w:sz w:val="21"/>
              </w:rPr>
              <w:t>《中华人民共和国水污染防治法》</w:t>
            </w:r>
            <w:r>
              <w:rPr>
                <w:spacing w:val="-10"/>
                <w:sz w:val="21"/>
              </w:rPr>
              <w:t>（2017</w:t>
            </w:r>
            <w:r>
              <w:rPr>
                <w:spacing w:val="-19"/>
                <w:sz w:val="21"/>
              </w:rPr>
              <w:t xml:space="preserve"> 年</w:t>
            </w:r>
            <w:r>
              <w:rPr>
                <w:sz w:val="21"/>
              </w:rPr>
              <w:t>6</w:t>
            </w:r>
            <w:r>
              <w:rPr>
                <w:spacing w:val="-28"/>
                <w:sz w:val="21"/>
              </w:rPr>
              <w:t xml:space="preserve"> 月第二次修订</w:t>
            </w:r>
            <w:r>
              <w:rPr>
                <w:spacing w:val="-20"/>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15"/>
              </w:rPr>
            </w:pPr>
          </w:p>
          <w:p>
            <w:pPr>
              <w:pStyle w:val="12"/>
              <w:spacing w:line="199" w:lineRule="auto"/>
              <w:ind w:left="115" w:right="105"/>
              <w:jc w:val="both"/>
              <w:rPr>
                <w:sz w:val="21"/>
              </w:rPr>
            </w:pPr>
            <w:r>
              <w:rPr>
                <w:sz w:val="21"/>
              </w:rPr>
              <w:t>重点管控区</w:t>
            </w:r>
          </w:p>
        </w:tc>
        <w:tc>
          <w:tcPr>
            <w:tcW w:w="761"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4"/>
              </w:rPr>
            </w:pPr>
          </w:p>
          <w:p>
            <w:pPr>
              <w:pStyle w:val="12"/>
              <w:spacing w:line="196" w:lineRule="auto"/>
              <w:ind w:left="108" w:right="223"/>
              <w:rPr>
                <w:sz w:val="21"/>
              </w:rPr>
            </w:pPr>
            <w:r>
              <w:rPr>
                <w:sz w:val="21"/>
              </w:rPr>
              <w:t>工业污染</w:t>
            </w:r>
          </w:p>
        </w:tc>
        <w:tc>
          <w:tcPr>
            <w:tcW w:w="415"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1"/>
              </w:rPr>
            </w:pPr>
          </w:p>
          <w:p>
            <w:pPr>
              <w:pStyle w:val="12"/>
              <w:spacing w:line="199" w:lineRule="auto"/>
              <w:ind w:left="108" w:right="88"/>
              <w:jc w:val="both"/>
              <w:rPr>
                <w:sz w:val="21"/>
              </w:rPr>
            </w:pPr>
            <w:r>
              <w:rPr>
                <w:sz w:val="21"/>
              </w:rPr>
              <w:t>污染物排放管控</w:t>
            </w:r>
          </w:p>
        </w:tc>
        <w:tc>
          <w:tcPr>
            <w:tcW w:w="1869"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7"/>
              <w:rPr>
                <w:b/>
                <w:sz w:val="24"/>
              </w:rPr>
            </w:pPr>
          </w:p>
          <w:p>
            <w:pPr>
              <w:pStyle w:val="12"/>
              <w:spacing w:line="199" w:lineRule="auto"/>
              <w:ind w:left="358" w:right="188" w:hanging="159"/>
              <w:rPr>
                <w:sz w:val="21"/>
              </w:rPr>
            </w:pPr>
            <w:r>
              <w:rPr>
                <w:sz w:val="21"/>
              </w:rPr>
              <w:t>区域水污染物削减/替代要求</w:t>
            </w:r>
          </w:p>
        </w:tc>
        <w:tc>
          <w:tcPr>
            <w:tcW w:w="11723" w:type="dxa"/>
            <w:tcBorders>
              <w:bottom w:val="single" w:color="000000" w:sz="4" w:space="0"/>
            </w:tcBorders>
          </w:tcPr>
          <w:p>
            <w:pPr>
              <w:pStyle w:val="12"/>
              <w:rPr>
                <w:b/>
                <w:sz w:val="20"/>
              </w:rPr>
            </w:pPr>
          </w:p>
          <w:p>
            <w:pPr>
              <w:pStyle w:val="12"/>
              <w:spacing w:before="1" w:line="196" w:lineRule="auto"/>
              <w:ind w:left="109" w:right="95"/>
              <w:rPr>
                <w:sz w:val="21"/>
              </w:rPr>
            </w:pPr>
            <w:r>
              <w:rPr>
                <w:spacing w:val="-6"/>
                <w:sz w:val="21"/>
              </w:rPr>
              <w:t>1</w:t>
            </w:r>
            <w:r>
              <w:rPr>
                <w:rFonts w:ascii="Times New Roman" w:eastAsia="Times New Roman"/>
                <w:spacing w:val="-6"/>
                <w:sz w:val="21"/>
              </w:rPr>
              <w:t>.</w:t>
            </w:r>
            <w:r>
              <w:rPr>
                <w:spacing w:val="-6"/>
                <w:sz w:val="21"/>
              </w:rPr>
              <w:t>（</w:t>
            </w:r>
            <w:r>
              <w:rPr>
                <w:spacing w:val="-3"/>
                <w:sz w:val="21"/>
              </w:rPr>
              <w:t>临超标区域削减要求</w:t>
            </w:r>
            <w:r>
              <w:rPr>
                <w:spacing w:val="-20"/>
                <w:sz w:val="21"/>
              </w:rPr>
              <w:t>）</w:t>
            </w:r>
            <w:r>
              <w:rPr>
                <w:spacing w:val="-8"/>
                <w:sz w:val="21"/>
              </w:rPr>
              <w:t xml:space="preserve">新建、改建、扩建工业项目所在地水环境主要污染物现状浓度占标准值 </w:t>
            </w:r>
            <w:r>
              <w:rPr>
                <w:rFonts w:ascii="Times New Roman" w:eastAsia="Times New Roman"/>
                <w:sz w:val="21"/>
              </w:rPr>
              <w:t>90%</w:t>
            </w:r>
            <w:r>
              <w:rPr>
                <w:sz w:val="21"/>
              </w:rPr>
              <w:t>～</w:t>
            </w:r>
            <w:r>
              <w:rPr>
                <w:rFonts w:ascii="Times New Roman" w:eastAsia="Times New Roman"/>
                <w:sz w:val="21"/>
              </w:rPr>
              <w:t>100%</w:t>
            </w:r>
            <w:r>
              <w:rPr>
                <w:spacing w:val="-5"/>
                <w:sz w:val="21"/>
              </w:rPr>
              <w:t>的，项目所在地</w:t>
            </w:r>
            <w:r>
              <w:rPr>
                <w:spacing w:val="-4"/>
                <w:sz w:val="21"/>
              </w:rPr>
              <w:t>应按等量置换或减量置换原则削减现有污染物排放量。</w:t>
            </w:r>
          </w:p>
        </w:tc>
        <w:tc>
          <w:tcPr>
            <w:tcW w:w="5676" w:type="dxa"/>
            <w:tcBorders>
              <w:top w:val="single" w:color="000000" w:sz="4" w:space="0"/>
              <w:bottom w:val="single" w:color="000000" w:sz="4" w:space="0"/>
            </w:tcBorders>
          </w:tcPr>
          <w:p>
            <w:pPr>
              <w:pStyle w:val="12"/>
              <w:spacing w:before="8"/>
              <w:rPr>
                <w:b/>
                <w:sz w:val="26"/>
              </w:rPr>
            </w:pPr>
          </w:p>
          <w:p>
            <w:pPr>
              <w:pStyle w:val="12"/>
              <w:ind w:left="109"/>
              <w:rPr>
                <w:sz w:val="21"/>
              </w:rPr>
            </w:pPr>
            <w:r>
              <w:rPr>
                <w:sz w:val="21"/>
              </w:rPr>
              <w:t>《贵州省水污染防治攻坚战实施意见》（该条找不到）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44" w:line="196" w:lineRule="auto"/>
              <w:ind w:left="109" w:right="99"/>
              <w:rPr>
                <w:sz w:val="21"/>
              </w:rPr>
            </w:pPr>
            <w:r>
              <w:rPr>
                <w:rFonts w:ascii="Times New Roman" w:eastAsia="Times New Roman"/>
                <w:sz w:val="21"/>
              </w:rPr>
              <w:t>2.</w:t>
            </w:r>
            <w:r>
              <w:rPr>
                <w:sz w:val="21"/>
              </w:rPr>
              <w:t>（超总量或不达标区域管控）对超过重点水污染物排放总量控制指标或者未完成水环境质量改善目标的地区，暂停审批新增重点水污染物排放总量的建设项目环境影响评价文件。</w:t>
            </w:r>
          </w:p>
        </w:tc>
        <w:tc>
          <w:tcPr>
            <w:tcW w:w="5676" w:type="dxa"/>
            <w:tcBorders>
              <w:top w:val="single" w:color="000000" w:sz="4" w:space="0"/>
              <w:bottom w:val="single" w:color="000000" w:sz="4" w:space="0"/>
            </w:tcBorders>
          </w:tcPr>
          <w:p>
            <w:pPr>
              <w:pStyle w:val="12"/>
              <w:spacing w:before="11"/>
              <w:rPr>
                <w:b/>
                <w:sz w:val="17"/>
              </w:rPr>
            </w:pPr>
          </w:p>
          <w:p>
            <w:pPr>
              <w:pStyle w:val="12"/>
              <w:ind w:left="109"/>
              <w:rPr>
                <w:sz w:val="21"/>
              </w:rPr>
            </w:pPr>
            <w:r>
              <w:rPr>
                <w:sz w:val="21"/>
              </w:rPr>
              <w:t>《贵州省水污染防治条例》（2018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44" w:line="196" w:lineRule="auto"/>
              <w:ind w:left="109" w:right="-15"/>
              <w:rPr>
                <w:sz w:val="21"/>
              </w:rPr>
            </w:pPr>
            <w:r>
              <w:rPr>
                <w:rFonts w:ascii="Times New Roman" w:eastAsia="Times New Roman"/>
                <w:sz w:val="21"/>
              </w:rPr>
              <w:t>3.(</w:t>
            </w:r>
            <w:r>
              <w:rPr>
                <w:sz w:val="21"/>
              </w:rPr>
              <w:t>资源环境承载力约束</w:t>
            </w:r>
            <w:r>
              <w:rPr>
                <w:rFonts w:ascii="Times New Roman" w:eastAsia="Times New Roman"/>
                <w:sz w:val="21"/>
              </w:rPr>
              <w:t>)</w:t>
            </w:r>
            <w:r>
              <w:rPr>
                <w:sz w:val="21"/>
              </w:rPr>
              <w:t>对环境超载地区，率先执行排放标准的特别排放限值，规定更加严格的排污许可要求，实行新建、改</w:t>
            </w:r>
            <w:r>
              <w:rPr>
                <w:spacing w:val="-8"/>
                <w:sz w:val="21"/>
              </w:rPr>
              <w:t>建、扩建项目重点污染物排放加大减减量置换，暂缓实施区域性排污权交易；对临界超载地区，加密监测敏感污染源，实施严</w:t>
            </w:r>
            <w:r>
              <w:rPr>
                <w:spacing w:val="-14"/>
                <w:sz w:val="21"/>
              </w:rPr>
              <w:t>格的排污许可管理，实行区域消减计划后新建、改建、扩建项目重点污染物排放减量置换，采取有效措施严格防范突发区域性、</w:t>
            </w:r>
            <w:r>
              <w:rPr>
                <w:spacing w:val="-7"/>
                <w:sz w:val="21"/>
              </w:rPr>
              <w:t>系统性重大环境事件；对不超载地区，实行新建、改建、扩建项目重点污染物排放等量置换。</w:t>
            </w:r>
          </w:p>
        </w:tc>
        <w:tc>
          <w:tcPr>
            <w:tcW w:w="5676" w:type="dxa"/>
            <w:tcBorders>
              <w:top w:val="single" w:color="000000" w:sz="4" w:space="0"/>
              <w:bottom w:val="single" w:color="000000" w:sz="4" w:space="0"/>
            </w:tcBorders>
          </w:tcPr>
          <w:p>
            <w:pPr>
              <w:pStyle w:val="12"/>
              <w:rPr>
                <w:b/>
                <w:sz w:val="20"/>
              </w:rPr>
            </w:pPr>
          </w:p>
          <w:p>
            <w:pPr>
              <w:pStyle w:val="12"/>
              <w:spacing w:before="3"/>
              <w:rPr>
                <w:b/>
                <w:sz w:val="15"/>
              </w:rPr>
            </w:pPr>
          </w:p>
          <w:p>
            <w:pPr>
              <w:pStyle w:val="12"/>
              <w:ind w:left="109"/>
              <w:rPr>
                <w:sz w:val="21"/>
              </w:rPr>
            </w:pPr>
            <w:r>
              <w:rPr>
                <w:spacing w:val="-20"/>
                <w:sz w:val="21"/>
              </w:rPr>
              <w:t>《关于建立资源环境承载能力监测预警长效机制的若干意见》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14" w:lineRule="exact"/>
              <w:ind w:left="109"/>
              <w:rPr>
                <w:sz w:val="21"/>
              </w:rPr>
            </w:pPr>
            <w:r>
              <w:rPr>
                <w:rFonts w:ascii="Times New Roman" w:eastAsia="Times New Roman"/>
                <w:sz w:val="21"/>
              </w:rPr>
              <w:t>4.</w:t>
            </w:r>
            <w:r>
              <w:rPr>
                <w:sz w:val="21"/>
              </w:rPr>
              <w:t>企业事业单位和其他生产经营者超过污染物排放标准或者超过重点污染物排放总量控制指标排放污染物的，县级以上人民政</w:t>
            </w:r>
          </w:p>
          <w:p>
            <w:pPr>
              <w:pStyle w:val="12"/>
              <w:spacing w:before="11" w:line="220" w:lineRule="exact"/>
              <w:ind w:left="109" w:right="94"/>
              <w:rPr>
                <w:sz w:val="21"/>
              </w:rPr>
            </w:pPr>
            <w:r>
              <w:rPr>
                <w:spacing w:val="-8"/>
                <w:sz w:val="21"/>
              </w:rPr>
              <w:t>府环境保护主管部门可以责令其采取限制生产、停产整治等措施；情节严重的，报经有批准权的人民政府批准，责令停业、关闭。</w:t>
            </w:r>
          </w:p>
        </w:tc>
        <w:tc>
          <w:tcPr>
            <w:tcW w:w="5676" w:type="dxa"/>
            <w:tcBorders>
              <w:top w:val="single" w:color="000000" w:sz="4" w:space="0"/>
              <w:bottom w:val="single" w:color="000000" w:sz="4" w:space="0"/>
            </w:tcBorders>
          </w:tcPr>
          <w:p>
            <w:pPr>
              <w:pStyle w:val="12"/>
              <w:spacing w:before="10"/>
              <w:rPr>
                <w:b/>
                <w:sz w:val="15"/>
              </w:rPr>
            </w:pPr>
          </w:p>
          <w:p>
            <w:pPr>
              <w:pStyle w:val="12"/>
              <w:ind w:left="109"/>
              <w:rPr>
                <w:sz w:val="21"/>
              </w:rPr>
            </w:pPr>
            <w:r>
              <w:rPr>
                <w:sz w:val="21"/>
              </w:rPr>
              <w:t>《中华人民共和国环境保护法》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3" w:line="199" w:lineRule="auto"/>
              <w:ind w:left="109" w:right="95"/>
              <w:rPr>
                <w:rFonts w:ascii="Times New Roman" w:eastAsia="Times New Roman"/>
                <w:sz w:val="21"/>
              </w:rPr>
            </w:pPr>
            <w:r>
              <w:rPr>
                <w:rFonts w:ascii="Times New Roman" w:eastAsia="Times New Roman"/>
                <w:sz w:val="21"/>
              </w:rPr>
              <w:t>5.</w:t>
            </w:r>
            <w:r>
              <w:rPr>
                <w:spacing w:val="-6"/>
                <w:sz w:val="21"/>
              </w:rPr>
              <w:t>全面实施电解锰、磷化工、电镀、洗煤等行业生产废水闭路循环</w:t>
            </w:r>
            <w:r>
              <w:rPr>
                <w:rFonts w:ascii="Times New Roman" w:eastAsia="Times New Roman"/>
                <w:spacing w:val="-4"/>
                <w:sz w:val="21"/>
              </w:rPr>
              <w:t>;</w:t>
            </w:r>
            <w:r>
              <w:rPr>
                <w:spacing w:val="-8"/>
                <w:sz w:val="21"/>
              </w:rPr>
              <w:t>鼓励钢铁、纺织印染、造纸、煤石化、化工、制革等高耗水</w:t>
            </w:r>
            <w:r>
              <w:rPr>
                <w:spacing w:val="-7"/>
                <w:sz w:val="21"/>
              </w:rPr>
              <w:t xml:space="preserve">企业废水深度处理回用。加大工业节水技术改造，采用高效、安全、可靠的水处理技术工艺，降低单位产品取水量。到 </w:t>
            </w:r>
            <w:r>
              <w:rPr>
                <w:rFonts w:ascii="Times New Roman" w:eastAsia="Times New Roman"/>
                <w:spacing w:val="-5"/>
                <w:sz w:val="21"/>
              </w:rPr>
              <w:t>2020</w:t>
            </w:r>
          </w:p>
          <w:p>
            <w:pPr>
              <w:pStyle w:val="12"/>
              <w:spacing w:line="198" w:lineRule="exact"/>
              <w:ind w:left="109"/>
              <w:rPr>
                <w:sz w:val="21"/>
              </w:rPr>
            </w:pPr>
            <w:r>
              <w:rPr>
                <w:sz w:val="21"/>
              </w:rPr>
              <w:t xml:space="preserve">年，全省万元工业增加值用水量控制在 </w:t>
            </w:r>
            <w:r>
              <w:rPr>
                <w:rFonts w:ascii="Times New Roman" w:eastAsia="Times New Roman"/>
                <w:sz w:val="21"/>
              </w:rPr>
              <w:t>90m</w:t>
            </w:r>
            <w:r>
              <w:rPr>
                <w:rFonts w:ascii="Times New Roman" w:eastAsia="Times New Roman"/>
                <w:sz w:val="21"/>
                <w:vertAlign w:val="superscript"/>
              </w:rPr>
              <w:t>3</w:t>
            </w:r>
            <w:r>
              <w:rPr>
                <w:rFonts w:ascii="Times New Roman" w:eastAsia="Times New Roman"/>
                <w:sz w:val="21"/>
              </w:rPr>
              <w:t xml:space="preserve"> </w:t>
            </w:r>
            <w:r>
              <w:rPr>
                <w:sz w:val="21"/>
              </w:rPr>
              <w:t xml:space="preserve">以内，比 </w:t>
            </w:r>
            <w:r>
              <w:rPr>
                <w:rFonts w:ascii="Times New Roman" w:eastAsia="Times New Roman"/>
                <w:sz w:val="21"/>
              </w:rPr>
              <w:t xml:space="preserve">2013 </w:t>
            </w:r>
            <w:r>
              <w:rPr>
                <w:sz w:val="21"/>
              </w:rPr>
              <w:t xml:space="preserve">年下降 </w:t>
            </w:r>
            <w:r>
              <w:rPr>
                <w:rFonts w:ascii="Times New Roman" w:eastAsia="Times New Roman"/>
                <w:sz w:val="21"/>
              </w:rPr>
              <w:t>35%</w:t>
            </w:r>
            <w:r>
              <w:rPr>
                <w:sz w:val="21"/>
              </w:rPr>
              <w:t>以上。</w:t>
            </w:r>
          </w:p>
        </w:tc>
        <w:tc>
          <w:tcPr>
            <w:tcW w:w="5676" w:type="dxa"/>
            <w:vMerge w:val="restart"/>
            <w:tcBorders>
              <w:top w:val="single" w:color="000000" w:sz="4" w:space="0"/>
              <w:bottom w:val="single" w:color="000000" w:sz="4" w:space="0"/>
            </w:tcBorders>
          </w:tcPr>
          <w:p>
            <w:pPr>
              <w:pStyle w:val="12"/>
              <w:rPr>
                <w:b/>
                <w:sz w:val="20"/>
              </w:rPr>
            </w:pPr>
          </w:p>
          <w:p>
            <w:pPr>
              <w:pStyle w:val="12"/>
              <w:spacing w:before="172"/>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tcBorders>
          </w:tcPr>
          <w:p>
            <w:pPr>
              <w:pStyle w:val="12"/>
              <w:spacing w:before="1" w:line="220" w:lineRule="exact"/>
              <w:ind w:left="109" w:right="94"/>
              <w:rPr>
                <w:sz w:val="21"/>
              </w:rPr>
            </w:pPr>
            <w:r>
              <w:rPr>
                <w:rFonts w:ascii="Times New Roman" w:eastAsia="Times New Roman"/>
                <w:sz w:val="21"/>
              </w:rPr>
              <w:t>6.</w:t>
            </w:r>
            <w:r>
              <w:rPr>
                <w:spacing w:val="-3"/>
                <w:sz w:val="21"/>
              </w:rPr>
              <w:t>加强粉煤灰、脱硫石膏、赤泥、锰渣等工业废渣综合利用（除磷石膏单独要求外</w:t>
            </w:r>
            <w:r>
              <w:rPr>
                <w:spacing w:val="-106"/>
                <w:sz w:val="21"/>
              </w:rPr>
              <w:t>）</w:t>
            </w:r>
            <w:r>
              <w:rPr>
                <w:sz w:val="21"/>
              </w:rPr>
              <w:t>，到</w:t>
            </w:r>
            <w:r>
              <w:rPr>
                <w:spacing w:val="-53"/>
                <w:sz w:val="21"/>
              </w:rPr>
              <w:t xml:space="preserve"> </w:t>
            </w:r>
            <w:r>
              <w:rPr>
                <w:sz w:val="21"/>
              </w:rPr>
              <w:t xml:space="preserve">2020 </w:t>
            </w:r>
            <w:r>
              <w:rPr>
                <w:spacing w:val="-3"/>
                <w:sz w:val="21"/>
              </w:rPr>
              <w:t>年，全省工业废渣综合利用率力</w:t>
            </w:r>
            <w:r>
              <w:rPr>
                <w:spacing w:val="-20"/>
                <w:sz w:val="21"/>
              </w:rPr>
              <w:t xml:space="preserve">争达 </w:t>
            </w:r>
            <w:r>
              <w:rPr>
                <w:sz w:val="21"/>
              </w:rPr>
              <w:t>70</w:t>
            </w:r>
            <w:r>
              <w:rPr>
                <w:spacing w:val="-2"/>
                <w:sz w:val="21"/>
              </w:rPr>
              <w:t>%以上。</w:t>
            </w:r>
          </w:p>
        </w:tc>
        <w:tc>
          <w:tcPr>
            <w:tcW w:w="5676"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4"/>
              <w:rPr>
                <w:b/>
              </w:rPr>
            </w:pPr>
          </w:p>
          <w:p>
            <w:pPr>
              <w:pStyle w:val="12"/>
              <w:spacing w:line="199" w:lineRule="auto"/>
              <w:ind w:left="725" w:right="188" w:hanging="526"/>
              <w:rPr>
                <w:sz w:val="21"/>
              </w:rPr>
            </w:pPr>
            <w:r>
              <w:rPr>
                <w:sz w:val="21"/>
              </w:rPr>
              <w:t>水污染控制措施要求</w:t>
            </w:r>
          </w:p>
        </w:tc>
        <w:tc>
          <w:tcPr>
            <w:tcW w:w="11723" w:type="dxa"/>
            <w:tcBorders>
              <w:bottom w:val="single" w:color="000000" w:sz="4" w:space="0"/>
            </w:tcBorders>
          </w:tcPr>
          <w:p>
            <w:pPr>
              <w:pStyle w:val="12"/>
              <w:spacing w:before="7" w:line="224" w:lineRule="exact"/>
              <w:ind w:left="109" w:right="96"/>
              <w:rPr>
                <w:sz w:val="21"/>
              </w:rPr>
            </w:pPr>
            <w:r>
              <w:rPr>
                <w:rFonts w:ascii="Calibri" w:eastAsia="Calibri"/>
                <w:sz w:val="21"/>
              </w:rPr>
              <w:t>1</w:t>
            </w:r>
            <w:r>
              <w:rPr>
                <w:rFonts w:ascii="Times New Roman" w:eastAsia="Times New Roman"/>
                <w:sz w:val="21"/>
              </w:rPr>
              <w:t>.</w:t>
            </w:r>
            <w:r>
              <w:rPr>
                <w:sz w:val="21"/>
              </w:rPr>
              <w:t>（工业废水排放收集）排放工业废水的企业应当采取有效措施，收集和处理产生的全部废水，防止污染环境。含有毒有害水污染物的工业废水应当分类收集和处理，不得稀释排放。</w:t>
            </w:r>
          </w:p>
        </w:tc>
        <w:tc>
          <w:tcPr>
            <w:tcW w:w="5676" w:type="dxa"/>
            <w:tcBorders>
              <w:top w:val="single" w:color="000000" w:sz="4" w:space="0"/>
              <w:bottom w:val="single" w:color="000000" w:sz="4" w:space="0"/>
            </w:tcBorders>
          </w:tcPr>
          <w:p>
            <w:pPr>
              <w:pStyle w:val="12"/>
              <w:spacing w:before="101"/>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20" w:line="196" w:lineRule="auto"/>
              <w:ind w:left="109" w:right="101"/>
              <w:rPr>
                <w:sz w:val="21"/>
              </w:rPr>
            </w:pPr>
            <w:r>
              <w:rPr>
                <w:rFonts w:ascii="Times New Roman" w:eastAsia="Times New Roman"/>
                <w:sz w:val="21"/>
              </w:rPr>
              <w:t>2.(</w:t>
            </w:r>
            <w:r>
              <w:rPr>
                <w:sz w:val="21"/>
              </w:rPr>
              <w:t>工业聚集区水污染治理</w:t>
            </w:r>
            <w:r>
              <w:rPr>
                <w:rFonts w:ascii="Times New Roman" w:eastAsia="Times New Roman"/>
                <w:sz w:val="21"/>
              </w:rPr>
              <w:t>)</w:t>
            </w:r>
            <w:r>
              <w:rPr>
                <w:sz w:val="21"/>
              </w:rPr>
              <w:t>集中治理工业集聚区水污染，新建、升级工业集聚区应同步规划建设污水集中处理设施并安装自动在线监控装置。</w:t>
            </w:r>
          </w:p>
        </w:tc>
        <w:tc>
          <w:tcPr>
            <w:tcW w:w="5676" w:type="dxa"/>
            <w:tcBorders>
              <w:top w:val="single" w:color="000000" w:sz="4" w:space="0"/>
            </w:tcBorders>
          </w:tcPr>
          <w:p>
            <w:pPr>
              <w:pStyle w:val="12"/>
              <w:spacing w:before="12"/>
              <w:rPr>
                <w:b/>
                <w:sz w:val="15"/>
              </w:rPr>
            </w:pPr>
          </w:p>
          <w:p>
            <w:pPr>
              <w:pStyle w:val="12"/>
              <w:spacing w:before="1"/>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14" w:lineRule="exact"/>
              <w:ind w:left="109"/>
              <w:rPr>
                <w:sz w:val="21"/>
              </w:rPr>
            </w:pPr>
            <w:r>
              <w:rPr>
                <w:rFonts w:ascii="Times New Roman" w:eastAsia="Times New Roman"/>
                <w:sz w:val="21"/>
              </w:rPr>
              <w:t>3.</w:t>
            </w:r>
            <w:r>
              <w:rPr>
                <w:sz w:val="21"/>
              </w:rPr>
              <w:t xml:space="preserve">到 </w:t>
            </w:r>
            <w:r>
              <w:rPr>
                <w:rFonts w:ascii="Times New Roman" w:eastAsia="Times New Roman"/>
                <w:sz w:val="21"/>
              </w:rPr>
              <w:t xml:space="preserve">2020 </w:t>
            </w:r>
            <w:r>
              <w:rPr>
                <w:sz w:val="21"/>
              </w:rPr>
              <w:t>年，全省城乡集中式饮用水水源地环境保护全面加强，监测网络和应急机制完备</w:t>
            </w:r>
            <w:r>
              <w:rPr>
                <w:rFonts w:ascii="Times New Roman" w:eastAsia="Times New Roman"/>
                <w:sz w:val="21"/>
              </w:rPr>
              <w:t>;</w:t>
            </w:r>
            <w:r>
              <w:rPr>
                <w:sz w:val="21"/>
              </w:rPr>
              <w:t>重要水源地一级保护区实施退耕还</w:t>
            </w:r>
          </w:p>
          <w:p>
            <w:pPr>
              <w:pStyle w:val="12"/>
              <w:spacing w:before="11" w:line="220" w:lineRule="exact"/>
              <w:ind w:left="109" w:right="97"/>
              <w:rPr>
                <w:sz w:val="21"/>
              </w:rPr>
            </w:pPr>
            <w:r>
              <w:rPr>
                <w:spacing w:val="-11"/>
                <w:sz w:val="21"/>
              </w:rPr>
              <w:t>林还草，二级保护区污染得到有效控制</w:t>
            </w:r>
            <w:r>
              <w:rPr>
                <w:rFonts w:ascii="Times New Roman" w:eastAsia="Times New Roman"/>
                <w:spacing w:val="-4"/>
                <w:sz w:val="21"/>
              </w:rPr>
              <w:t>;</w:t>
            </w:r>
            <w:r>
              <w:rPr>
                <w:spacing w:val="-4"/>
                <w:sz w:val="21"/>
              </w:rPr>
              <w:t xml:space="preserve">中心城市和县城以上集中式饮用水水源地水质达标率达到 </w:t>
            </w:r>
            <w:r>
              <w:rPr>
                <w:rFonts w:ascii="Times New Roman" w:eastAsia="Times New Roman"/>
                <w:sz w:val="21"/>
              </w:rPr>
              <w:t>100%;</w:t>
            </w:r>
            <w:r>
              <w:rPr>
                <w:spacing w:val="-3"/>
                <w:sz w:val="21"/>
              </w:rPr>
              <w:t>农村集中式饮用水水质达标率整体大幅提高。</w:t>
            </w:r>
          </w:p>
        </w:tc>
        <w:tc>
          <w:tcPr>
            <w:tcW w:w="5676" w:type="dxa"/>
            <w:tcBorders>
              <w:bottom w:val="single" w:color="000000" w:sz="4" w:space="0"/>
            </w:tcBorders>
          </w:tcPr>
          <w:p>
            <w:pPr>
              <w:pStyle w:val="12"/>
              <w:spacing w:before="81" w:line="230" w:lineRule="auto"/>
              <w:ind w:left="109" w:right="80"/>
              <w:rPr>
                <w:sz w:val="21"/>
              </w:rPr>
            </w:pPr>
            <w:r>
              <w:rPr>
                <w:spacing w:val="-10"/>
                <w:sz w:val="21"/>
              </w:rPr>
              <w:t>《贵州省进一步加强城乡集中式饮用水水源地保护管理工作方</w:t>
            </w:r>
            <w:r>
              <w:rPr>
                <w:spacing w:val="-20"/>
                <w:sz w:val="21"/>
              </w:rPr>
              <w:t>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 w:line="220" w:lineRule="exact"/>
              <w:ind w:left="109" w:right="-15"/>
              <w:rPr>
                <w:sz w:val="21"/>
              </w:rPr>
            </w:pPr>
            <w:r>
              <w:rPr>
                <w:rFonts w:ascii="Times New Roman" w:eastAsia="Times New Roman"/>
                <w:sz w:val="21"/>
              </w:rPr>
              <w:t>4.</w:t>
            </w:r>
            <w:r>
              <w:rPr>
                <w:spacing w:val="-9"/>
                <w:sz w:val="21"/>
              </w:rPr>
              <w:t>加大工业结构调整力度。推进老工业企业技术升级改造，对于潜在环境危害风险大、升级改造困难的企业，要逐步予以淘汰。</w:t>
            </w:r>
            <w:r>
              <w:rPr>
                <w:spacing w:val="-5"/>
                <w:sz w:val="21"/>
              </w:rPr>
              <w:t>从严审批产生有毒有害污染物的新建和扩建项目，暂停审批超总量控制指标的新增污染物排放量建设项目。</w:t>
            </w:r>
          </w:p>
        </w:tc>
        <w:tc>
          <w:tcPr>
            <w:tcW w:w="5676" w:type="dxa"/>
            <w:tcBorders>
              <w:top w:val="single" w:color="000000" w:sz="4" w:space="0"/>
            </w:tcBorders>
          </w:tcPr>
          <w:p>
            <w:pPr>
              <w:pStyle w:val="12"/>
              <w:spacing w:before="97"/>
              <w:ind w:left="109"/>
              <w:rPr>
                <w:sz w:val="21"/>
              </w:rPr>
            </w:pPr>
            <w:r>
              <w:rPr>
                <w:sz w:val="21"/>
              </w:rPr>
              <w:t>《重点流域水污染防治条例》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3" w:line="199" w:lineRule="auto"/>
              <w:ind w:left="109" w:right="94"/>
              <w:jc w:val="both"/>
              <w:rPr>
                <w:sz w:val="21"/>
              </w:rPr>
            </w:pPr>
            <w:r>
              <w:rPr>
                <w:rFonts w:ascii="Times New Roman" w:eastAsia="Times New Roman"/>
                <w:sz w:val="21"/>
              </w:rPr>
              <w:t>5.</w:t>
            </w:r>
            <w:r>
              <w:rPr>
                <w:rFonts w:ascii="Times New Roman" w:eastAsia="Times New Roman"/>
                <w:spacing w:val="52"/>
                <w:sz w:val="21"/>
              </w:rPr>
              <w:t xml:space="preserve"> </w:t>
            </w:r>
            <w:r>
              <w:rPr>
                <w:spacing w:val="-7"/>
                <w:sz w:val="21"/>
              </w:rPr>
              <w:t>向公共污水集中处理设施排放工业废水的企业事业单位，应当在排污口建设取样井，并为生态环境主管部门和受纳废水的污</w:t>
            </w:r>
            <w:r>
              <w:rPr>
                <w:spacing w:val="-8"/>
                <w:sz w:val="21"/>
              </w:rPr>
              <w:t>水集中处理设施的运营单位提供取样、监测流量的便利条件。污水集中处理设施的运营单位应当对进入污水处理厂的污水进行</w:t>
            </w:r>
            <w:r>
              <w:rPr>
                <w:spacing w:val="-5"/>
                <w:sz w:val="21"/>
              </w:rPr>
              <w:t>检测，发现被检测水质超过进水水质标准的，应当及时报告生态环境主管部门。</w:t>
            </w:r>
          </w:p>
        </w:tc>
        <w:tc>
          <w:tcPr>
            <w:tcW w:w="5676" w:type="dxa"/>
            <w:vMerge w:val="restart"/>
          </w:tcPr>
          <w:p>
            <w:pPr>
              <w:pStyle w:val="12"/>
              <w:rPr>
                <w:b/>
                <w:sz w:val="20"/>
              </w:rPr>
            </w:pPr>
          </w:p>
          <w:p>
            <w:pPr>
              <w:pStyle w:val="12"/>
              <w:spacing w:before="8"/>
              <w:rPr>
                <w:b/>
                <w:sz w:val="19"/>
              </w:rPr>
            </w:pPr>
          </w:p>
          <w:p>
            <w:pPr>
              <w:pStyle w:val="12"/>
              <w:ind w:left="109"/>
              <w:rPr>
                <w:sz w:val="21"/>
              </w:rPr>
            </w:pPr>
            <w:r>
              <w:rPr>
                <w:sz w:val="21"/>
              </w:rPr>
              <w:t>《贵州省水污染防治条例》（2018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44" w:lineRule="exact"/>
              <w:ind w:left="109"/>
              <w:rPr>
                <w:sz w:val="21"/>
              </w:rPr>
            </w:pPr>
            <w:r>
              <w:rPr>
                <w:rFonts w:ascii="Times New Roman" w:eastAsia="Times New Roman"/>
                <w:sz w:val="21"/>
              </w:rPr>
              <w:t>6.</w:t>
            </w:r>
            <w:r>
              <w:rPr>
                <w:sz w:val="21"/>
              </w:rPr>
              <w:t>禁止直接或利用渗井、渗坑、溶洞、裂隙等向水体排放、倾倒工业废渣及其他弃物；</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51" w:lineRule="exact"/>
              <w:ind w:left="109"/>
              <w:rPr>
                <w:sz w:val="21"/>
              </w:rPr>
            </w:pPr>
            <w:r>
              <w:rPr>
                <w:rFonts w:ascii="Times New Roman" w:eastAsia="Times New Roman"/>
                <w:sz w:val="21"/>
              </w:rPr>
              <w:t>7.</w:t>
            </w:r>
            <w:r>
              <w:rPr>
                <w:sz w:val="21"/>
              </w:rPr>
              <w:t>禁止将含有磷、锰、锑、汞等的有毒废渣向水体排放、倾倒或者直接埋入地下</w:t>
            </w:r>
          </w:p>
        </w:tc>
        <w:tc>
          <w:tcPr>
            <w:tcW w:w="5676" w:type="dxa"/>
            <w:vMerge w:val="continue"/>
            <w:tcBorders>
              <w:top w:val="nil"/>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1094"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761"/>
        <w:gridCol w:w="415"/>
        <w:gridCol w:w="1869"/>
        <w:gridCol w:w="11723"/>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tcPr>
          <w:p>
            <w:pPr>
              <w:pStyle w:val="12"/>
              <w:spacing w:before="49" w:line="252" w:lineRule="exact"/>
              <w:ind w:left="112"/>
              <w:rPr>
                <w:b/>
                <w:sz w:val="21"/>
              </w:rPr>
            </w:pPr>
            <w:r>
              <w:rPr>
                <w:b/>
                <w:sz w:val="21"/>
              </w:rPr>
              <w:t>分类</w:t>
            </w:r>
          </w:p>
        </w:tc>
        <w:tc>
          <w:tcPr>
            <w:tcW w:w="761" w:type="dxa"/>
          </w:tcPr>
          <w:p>
            <w:pPr>
              <w:pStyle w:val="12"/>
              <w:spacing w:before="49" w:line="252" w:lineRule="exact"/>
              <w:ind w:left="168"/>
              <w:rPr>
                <w:b/>
                <w:sz w:val="21"/>
              </w:rPr>
            </w:pPr>
            <w:r>
              <w:rPr>
                <w:b/>
                <w:sz w:val="21"/>
              </w:rPr>
              <w:t>属性</w:t>
            </w:r>
          </w:p>
        </w:tc>
        <w:tc>
          <w:tcPr>
            <w:tcW w:w="2284" w:type="dxa"/>
            <w:gridSpan w:val="2"/>
          </w:tcPr>
          <w:p>
            <w:pPr>
              <w:pStyle w:val="12"/>
              <w:spacing w:before="49" w:line="252" w:lineRule="exact"/>
              <w:ind w:left="911" w:right="905"/>
              <w:jc w:val="center"/>
              <w:rPr>
                <w:b/>
                <w:sz w:val="21"/>
              </w:rPr>
            </w:pPr>
            <w:r>
              <w:rPr>
                <w:b/>
                <w:sz w:val="21"/>
              </w:rPr>
              <w:t>管控</w:t>
            </w:r>
          </w:p>
        </w:tc>
        <w:tc>
          <w:tcPr>
            <w:tcW w:w="11723" w:type="dxa"/>
            <w:tcBorders>
              <w:bottom w:val="single" w:color="000000" w:sz="4" w:space="0"/>
            </w:tcBorders>
          </w:tcPr>
          <w:p>
            <w:pPr>
              <w:pStyle w:val="12"/>
              <w:spacing w:before="49" w:line="252" w:lineRule="exact"/>
              <w:ind w:left="5315" w:right="5308"/>
              <w:jc w:val="center"/>
              <w:rPr>
                <w:b/>
                <w:sz w:val="21"/>
              </w:rPr>
            </w:pPr>
            <w:r>
              <w:rPr>
                <w:b/>
                <w:sz w:val="21"/>
              </w:rPr>
              <w:t>管控和要求</w:t>
            </w:r>
          </w:p>
        </w:tc>
        <w:tc>
          <w:tcPr>
            <w:tcW w:w="5676" w:type="dxa"/>
          </w:tcPr>
          <w:p>
            <w:pPr>
              <w:pStyle w:val="12"/>
              <w:spacing w:before="49" w:line="252" w:lineRule="exact"/>
              <w:ind w:left="2188" w:right="2178"/>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650" w:type="dxa"/>
            <w:vMerge w:val="restart"/>
            <w:tcBorders>
              <w:bottom w:val="single" w:color="000000" w:sz="4" w:space="0"/>
            </w:tcBorders>
          </w:tcPr>
          <w:p>
            <w:pPr>
              <w:pStyle w:val="12"/>
              <w:rPr>
                <w:rFonts w:ascii="Times New Roman"/>
                <w:sz w:val="20"/>
              </w:rPr>
            </w:pPr>
          </w:p>
        </w:tc>
        <w:tc>
          <w:tcPr>
            <w:tcW w:w="761" w:type="dxa"/>
            <w:vMerge w:val="restart"/>
            <w:tcBorders>
              <w:bottom w:val="single" w:color="000000" w:sz="4" w:space="0"/>
            </w:tcBorders>
          </w:tcPr>
          <w:p>
            <w:pPr>
              <w:pStyle w:val="12"/>
              <w:rPr>
                <w:rFonts w:ascii="Times New Roman"/>
                <w:sz w:val="20"/>
              </w:rPr>
            </w:pPr>
          </w:p>
        </w:tc>
        <w:tc>
          <w:tcPr>
            <w:tcW w:w="415" w:type="dxa"/>
            <w:vMerge w:val="restart"/>
          </w:tcPr>
          <w:p>
            <w:pPr>
              <w:pStyle w:val="12"/>
              <w:rPr>
                <w:rFonts w:ascii="Times New Roman"/>
                <w:sz w:val="20"/>
              </w:rPr>
            </w:pPr>
          </w:p>
        </w:tc>
        <w:tc>
          <w:tcPr>
            <w:tcW w:w="1869" w:type="dxa"/>
            <w:vMerge w:val="restart"/>
          </w:tcPr>
          <w:p>
            <w:pPr>
              <w:pStyle w:val="12"/>
              <w:rPr>
                <w:rFonts w:ascii="Times New Roman"/>
                <w:sz w:val="20"/>
              </w:rPr>
            </w:pPr>
          </w:p>
        </w:tc>
        <w:tc>
          <w:tcPr>
            <w:tcW w:w="11723" w:type="dxa"/>
            <w:tcBorders>
              <w:top w:val="single" w:color="000000" w:sz="4" w:space="0"/>
              <w:bottom w:val="single" w:color="000000" w:sz="4" w:space="0"/>
            </w:tcBorders>
          </w:tcPr>
          <w:p>
            <w:pPr>
              <w:pStyle w:val="12"/>
              <w:spacing w:line="203" w:lineRule="exact"/>
              <w:ind w:left="109"/>
              <w:rPr>
                <w:sz w:val="21"/>
              </w:rPr>
            </w:pPr>
            <w:r>
              <w:rPr>
                <w:rFonts w:ascii="Times New Roman" w:eastAsia="Times New Roman"/>
                <w:sz w:val="21"/>
              </w:rPr>
              <w:t>8.</w:t>
            </w:r>
            <w:r>
              <w:rPr>
                <w:sz w:val="21"/>
              </w:rPr>
              <w:t>存放有毒废渣的场所，应当采取防水、防渗漏、防流失等措施。</w:t>
            </w:r>
          </w:p>
        </w:tc>
        <w:tc>
          <w:tcPr>
            <w:tcW w:w="5676" w:type="dxa"/>
            <w:tcBorders>
              <w:bottom w:val="single" w:color="000000" w:sz="4" w:space="0"/>
            </w:tcBorders>
          </w:tcPr>
          <w:p>
            <w:pPr>
              <w:pStyle w:val="12"/>
              <w:rPr>
                <w:rFonts w:ascii="Times New Roman"/>
                <w:sz w:val="1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5" w:line="196" w:lineRule="auto"/>
              <w:ind w:left="109" w:right="-15"/>
              <w:rPr>
                <w:sz w:val="21"/>
              </w:rPr>
            </w:pPr>
            <w:r>
              <w:rPr>
                <w:rFonts w:ascii="Times New Roman" w:eastAsia="Times New Roman"/>
                <w:sz w:val="21"/>
              </w:rPr>
              <w:t>9.</w:t>
            </w:r>
            <w:r>
              <w:rPr>
                <w:spacing w:val="-7"/>
                <w:sz w:val="21"/>
              </w:rPr>
              <w:t xml:space="preserve">造纸行业力争完成纸浆无元素氯漂白改造或采取其他低污染制浆技术，氮肥行业尿素生产完成工艺冷凝液水解解析技术改造， </w:t>
            </w:r>
            <w:r>
              <w:rPr>
                <w:spacing w:val="-5"/>
                <w:sz w:val="21"/>
              </w:rPr>
              <w:t>印染行业实施低排水染整工艺改造，制药</w:t>
            </w:r>
            <w:r>
              <w:rPr>
                <w:rFonts w:ascii="Times New Roman" w:eastAsia="Times New Roman"/>
                <w:sz w:val="21"/>
              </w:rPr>
              <w:t>(</w:t>
            </w:r>
            <w:r>
              <w:rPr>
                <w:spacing w:val="-3"/>
                <w:sz w:val="21"/>
              </w:rPr>
              <w:t>抗生素、维生素</w:t>
            </w:r>
            <w:r>
              <w:rPr>
                <w:rFonts w:ascii="Times New Roman" w:eastAsia="Times New Roman"/>
                <w:sz w:val="21"/>
              </w:rPr>
              <w:t>)</w:t>
            </w:r>
            <w:r>
              <w:rPr>
                <w:spacing w:val="-3"/>
                <w:sz w:val="21"/>
              </w:rPr>
              <w:t>行业实施绿色酶法生产技术改造，制革行业实施铬减量化和封闭循</w:t>
            </w:r>
          </w:p>
          <w:p>
            <w:pPr>
              <w:pStyle w:val="12"/>
              <w:spacing w:line="198" w:lineRule="exact"/>
              <w:ind w:left="109"/>
              <w:rPr>
                <w:sz w:val="21"/>
              </w:rPr>
            </w:pPr>
            <w:r>
              <w:rPr>
                <w:sz w:val="21"/>
              </w:rPr>
              <w:t>环利用技术改造。</w:t>
            </w:r>
          </w:p>
        </w:tc>
        <w:tc>
          <w:tcPr>
            <w:tcW w:w="5676" w:type="dxa"/>
            <w:tcBorders>
              <w:top w:val="single" w:color="000000" w:sz="4" w:space="0"/>
              <w:bottom w:val="single" w:color="000000" w:sz="4" w:space="0"/>
            </w:tcBorders>
          </w:tcPr>
          <w:p>
            <w:pPr>
              <w:pStyle w:val="12"/>
              <w:spacing w:before="79" w:line="230" w:lineRule="auto"/>
              <w:ind w:left="109" w:right="99"/>
              <w:rPr>
                <w:sz w:val="21"/>
              </w:rPr>
            </w:pPr>
            <w:r>
              <w:rPr>
                <w:spacing w:val="-25"/>
                <w:sz w:val="21"/>
              </w:rPr>
              <w:t>《国务院关于印发&lt;水污染防治行动计划&gt;的通知》</w:t>
            </w:r>
            <w:r>
              <w:rPr>
                <w:spacing w:val="-20"/>
                <w:sz w:val="21"/>
              </w:rPr>
              <w:t>（国发</w:t>
            </w:r>
            <w:r>
              <w:rPr>
                <w:spacing w:val="-10"/>
                <w:sz w:val="21"/>
              </w:rPr>
              <w:t xml:space="preserve">[2015]17 </w:t>
            </w:r>
            <w:r>
              <w:rPr>
                <w:spacing w:val="-20"/>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14"/>
              <w:ind w:left="109"/>
              <w:rPr>
                <w:sz w:val="21"/>
              </w:rPr>
            </w:pPr>
            <w:r>
              <w:rPr>
                <w:rFonts w:ascii="Times New Roman" w:hAnsi="Times New Roman" w:eastAsia="Times New Roman"/>
                <w:sz w:val="21"/>
              </w:rPr>
              <w:t>10.</w:t>
            </w:r>
            <w:r>
              <w:rPr>
                <w:sz w:val="21"/>
              </w:rPr>
              <w:t>乌江流域按照</w:t>
            </w:r>
            <w:r>
              <w:rPr>
                <w:rFonts w:ascii="Times New Roman" w:hAnsi="Times New Roman" w:eastAsia="Times New Roman"/>
                <w:sz w:val="21"/>
              </w:rPr>
              <w:t>“</w:t>
            </w:r>
            <w:r>
              <w:rPr>
                <w:sz w:val="21"/>
              </w:rPr>
              <w:t>一企一污水处理设施，一企一治理方案</w:t>
            </w:r>
            <w:r>
              <w:rPr>
                <w:rFonts w:ascii="Times New Roman" w:hAnsi="Times New Roman" w:eastAsia="Times New Roman"/>
                <w:sz w:val="21"/>
              </w:rPr>
              <w:t>”</w:t>
            </w:r>
            <w:r>
              <w:rPr>
                <w:sz w:val="21"/>
              </w:rPr>
              <w:t>要求抓好煤矿和磷矿企业污染防治。</w:t>
            </w:r>
          </w:p>
        </w:tc>
        <w:tc>
          <w:tcPr>
            <w:tcW w:w="5676" w:type="dxa"/>
            <w:vMerge w:val="restart"/>
            <w:tcBorders>
              <w:top w:val="single" w:color="000000" w:sz="4" w:space="0"/>
              <w:bottom w:val="single" w:color="000000" w:sz="4" w:space="0"/>
            </w:tcBorders>
          </w:tcPr>
          <w:p>
            <w:pPr>
              <w:pStyle w:val="12"/>
              <w:spacing w:before="7"/>
              <w:rPr>
                <w:b/>
                <w:sz w:val="27"/>
              </w:rPr>
            </w:pPr>
          </w:p>
          <w:p>
            <w:pPr>
              <w:pStyle w:val="12"/>
              <w:spacing w:before="1"/>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80"/>
              <w:ind w:left="109"/>
              <w:rPr>
                <w:sz w:val="21"/>
              </w:rPr>
            </w:pPr>
            <w:r>
              <w:rPr>
                <w:rFonts w:ascii="Times New Roman" w:eastAsia="Times New Roman"/>
                <w:sz w:val="21"/>
              </w:rPr>
              <w:t>11.</w:t>
            </w:r>
            <w:r>
              <w:rPr>
                <w:sz w:val="21"/>
              </w:rPr>
              <w:t>经济</w:t>
            </w:r>
            <w:r>
              <w:rPr>
                <w:rFonts w:ascii="Times New Roman" w:eastAsia="Times New Roman"/>
                <w:sz w:val="21"/>
              </w:rPr>
              <w:t>(</w:t>
            </w:r>
            <w:r>
              <w:rPr>
                <w:sz w:val="21"/>
              </w:rPr>
              <w:t>技术</w:t>
            </w:r>
            <w:r>
              <w:rPr>
                <w:rFonts w:ascii="Times New Roman" w:eastAsia="Times New Roman"/>
                <w:sz w:val="21"/>
              </w:rPr>
              <w:t>)</w:t>
            </w:r>
            <w:r>
              <w:rPr>
                <w:sz w:val="21"/>
              </w:rPr>
              <w:t>开发区、高新技术产业开发区、工业园区等产业园区实施矿产资源开发必须按规划建成公共渣场。</w:t>
            </w:r>
          </w:p>
        </w:tc>
        <w:tc>
          <w:tcPr>
            <w:tcW w:w="5676"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14" w:lineRule="exact"/>
              <w:ind w:left="109"/>
              <w:rPr>
                <w:sz w:val="21"/>
              </w:rPr>
            </w:pPr>
            <w:r>
              <w:rPr>
                <w:rFonts w:ascii="Times New Roman" w:eastAsia="Times New Roman"/>
                <w:sz w:val="21"/>
              </w:rPr>
              <w:t>12.</w:t>
            </w:r>
            <w:r>
              <w:rPr>
                <w:sz w:val="21"/>
              </w:rPr>
              <w:t>提升贵州贵阳、遵义、铜仁、黔南州、黔东南州区域内磷矿企业的开采和选矿技术水平，提高磷过滤效率和回收率，规范化</w:t>
            </w:r>
          </w:p>
          <w:p>
            <w:pPr>
              <w:pStyle w:val="12"/>
              <w:spacing w:line="210" w:lineRule="exact"/>
              <w:ind w:left="109"/>
              <w:rPr>
                <w:sz w:val="21"/>
              </w:rPr>
            </w:pPr>
            <w:r>
              <w:rPr>
                <w:sz w:val="21"/>
              </w:rPr>
              <w:t>建设尾矿库并严格监管。</w:t>
            </w:r>
          </w:p>
        </w:tc>
        <w:tc>
          <w:tcPr>
            <w:tcW w:w="5676" w:type="dxa"/>
            <w:vMerge w:val="restart"/>
            <w:tcBorders>
              <w:top w:val="single" w:color="000000" w:sz="4" w:space="0"/>
              <w:bottom w:val="single" w:color="000000" w:sz="4" w:space="0"/>
            </w:tcBorders>
          </w:tcPr>
          <w:p>
            <w:pPr>
              <w:pStyle w:val="12"/>
              <w:spacing w:before="3"/>
              <w:rPr>
                <w:b/>
                <w:sz w:val="21"/>
              </w:rPr>
            </w:pPr>
          </w:p>
          <w:p>
            <w:pPr>
              <w:pStyle w:val="12"/>
              <w:ind w:left="109"/>
              <w:rPr>
                <w:sz w:val="21"/>
              </w:rPr>
            </w:pPr>
            <w:r>
              <w:rPr>
                <w:sz w:val="21"/>
              </w:rPr>
              <w:t>《贵州省生态文明建设促进条例》（2018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39" w:lineRule="exact"/>
              <w:ind w:left="109"/>
              <w:rPr>
                <w:sz w:val="21"/>
              </w:rPr>
            </w:pPr>
            <w:r>
              <w:rPr>
                <w:sz w:val="21"/>
              </w:rPr>
              <w:t>13.加强对废弃矿山矿井水治理及矿山生态环境修复。</w:t>
            </w:r>
          </w:p>
        </w:tc>
        <w:tc>
          <w:tcPr>
            <w:tcW w:w="5676"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5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4" w:line="218" w:lineRule="auto"/>
              <w:ind w:left="107" w:right="83"/>
              <w:jc w:val="both"/>
              <w:rPr>
                <w:sz w:val="21"/>
              </w:rPr>
            </w:pPr>
            <w:r>
              <w:rPr>
                <w:sz w:val="21"/>
              </w:rPr>
              <w:t>重点管控区</w:t>
            </w:r>
          </w:p>
        </w:tc>
        <w:tc>
          <w:tcPr>
            <w:tcW w:w="761"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16"/>
              </w:rPr>
            </w:pPr>
          </w:p>
          <w:p>
            <w:pPr>
              <w:pStyle w:val="12"/>
              <w:spacing w:line="218" w:lineRule="auto"/>
              <w:ind w:left="170" w:right="160"/>
              <w:rPr>
                <w:sz w:val="21"/>
              </w:rPr>
            </w:pPr>
            <w:r>
              <w:rPr>
                <w:sz w:val="21"/>
              </w:rPr>
              <w:t>工业污染</w:t>
            </w:r>
          </w:p>
        </w:tc>
        <w:tc>
          <w:tcPr>
            <w:tcW w:w="2284" w:type="dxa"/>
            <w:gridSpan w:val="2"/>
            <w:vMerge w:val="restart"/>
          </w:tcPr>
          <w:p>
            <w:pPr>
              <w:pStyle w:val="12"/>
              <w:rPr>
                <w:b/>
                <w:sz w:val="20"/>
              </w:rPr>
            </w:pPr>
          </w:p>
          <w:p>
            <w:pPr>
              <w:pStyle w:val="12"/>
              <w:rPr>
                <w:b/>
                <w:sz w:val="20"/>
              </w:rPr>
            </w:pPr>
          </w:p>
          <w:p>
            <w:pPr>
              <w:pStyle w:val="12"/>
              <w:rPr>
                <w:b/>
                <w:sz w:val="20"/>
              </w:rPr>
            </w:pPr>
          </w:p>
          <w:p>
            <w:pPr>
              <w:pStyle w:val="12"/>
              <w:spacing w:before="2"/>
              <w:rPr>
                <w:b/>
              </w:rPr>
            </w:pPr>
          </w:p>
          <w:p>
            <w:pPr>
              <w:pStyle w:val="12"/>
              <w:ind w:left="514"/>
              <w:rPr>
                <w:sz w:val="21"/>
              </w:rPr>
            </w:pPr>
            <w:r>
              <w:rPr>
                <w:sz w:val="21"/>
              </w:rPr>
              <w:t>环境风险防控</w:t>
            </w:r>
          </w:p>
        </w:tc>
        <w:tc>
          <w:tcPr>
            <w:tcW w:w="11723" w:type="dxa"/>
            <w:tcBorders>
              <w:top w:val="single" w:color="000000" w:sz="4" w:space="0"/>
              <w:bottom w:val="single" w:color="000000" w:sz="4" w:space="0"/>
            </w:tcBorders>
          </w:tcPr>
          <w:p>
            <w:pPr>
              <w:pStyle w:val="12"/>
              <w:spacing w:before="37"/>
              <w:ind w:left="109"/>
              <w:rPr>
                <w:sz w:val="21"/>
              </w:rPr>
            </w:pPr>
            <w:r>
              <w:rPr>
                <w:rFonts w:ascii="Calibri" w:eastAsia="Calibri"/>
                <w:sz w:val="21"/>
              </w:rPr>
              <w:t>1.</w:t>
            </w:r>
            <w:r>
              <w:rPr>
                <w:sz w:val="21"/>
              </w:rPr>
              <w:t>城市建成区内不得建设污染严重、影响居民生活的化工、冶金、造纸、钢铁等重污染工业项目；</w:t>
            </w:r>
          </w:p>
        </w:tc>
        <w:tc>
          <w:tcPr>
            <w:tcW w:w="5676" w:type="dxa"/>
            <w:tcBorders>
              <w:top w:val="single" w:color="000000" w:sz="4" w:space="0"/>
              <w:bottom w:val="single" w:color="000000" w:sz="4" w:space="0"/>
            </w:tcBorders>
          </w:tcPr>
          <w:p>
            <w:pPr>
              <w:pStyle w:val="12"/>
              <w:spacing w:before="44"/>
              <w:ind w:left="109"/>
              <w:rPr>
                <w:sz w:val="21"/>
              </w:rPr>
            </w:pPr>
            <w:r>
              <w:rPr>
                <w:spacing w:val="-29"/>
                <w:sz w:val="21"/>
              </w:rPr>
              <w:t>《贵州省环境保护条例》</w:t>
            </w:r>
            <w:r>
              <w:rPr>
                <w:spacing w:val="-20"/>
                <w:sz w:val="21"/>
              </w:rPr>
              <w:t>（</w:t>
            </w:r>
            <w:r>
              <w:rPr>
                <w:spacing w:val="-10"/>
                <w:sz w:val="21"/>
              </w:rPr>
              <w:t>200</w:t>
            </w:r>
            <w:r>
              <w:rPr>
                <w:sz w:val="21"/>
              </w:rPr>
              <w:t>7</w:t>
            </w:r>
            <w:r>
              <w:rPr>
                <w:spacing w:val="-67"/>
                <w:sz w:val="21"/>
              </w:rPr>
              <w:t xml:space="preserve"> </w:t>
            </w:r>
            <w:r>
              <w:rPr>
                <w:spacing w:val="-20"/>
                <w:sz w:val="21"/>
              </w:rPr>
              <w:t>年通过</w:t>
            </w:r>
            <w:r>
              <w:rPr>
                <w:spacing w:val="-116"/>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45" w:lineRule="exact"/>
              <w:ind w:left="109"/>
              <w:rPr>
                <w:sz w:val="21"/>
              </w:rPr>
            </w:pPr>
            <w:r>
              <w:rPr>
                <w:rFonts w:ascii="Calibri" w:eastAsia="Calibri"/>
                <w:sz w:val="21"/>
              </w:rPr>
              <w:t>2.</w:t>
            </w:r>
            <w:r>
              <w:rPr>
                <w:sz w:val="21"/>
              </w:rPr>
              <w:t>县级以上人民政府及有关部门和可能发生水污染事件的企事业单位及其他生产经营者，应当制定水污染事件的应急预案，并</w:t>
            </w:r>
          </w:p>
          <w:p>
            <w:pPr>
              <w:pStyle w:val="12"/>
              <w:spacing w:line="227" w:lineRule="exact"/>
              <w:ind w:left="109"/>
              <w:rPr>
                <w:sz w:val="21"/>
              </w:rPr>
            </w:pPr>
            <w:r>
              <w:rPr>
                <w:sz w:val="21"/>
              </w:rPr>
              <w:t>定期进行演练，做好应急准备。企业事业单位或者其他生产经营者制定的应急预案应当报所在地生态环境主管部门备案；</w:t>
            </w:r>
          </w:p>
        </w:tc>
        <w:tc>
          <w:tcPr>
            <w:tcW w:w="5676" w:type="dxa"/>
            <w:vMerge w:val="restart"/>
            <w:tcBorders>
              <w:top w:val="single" w:color="000000" w:sz="4" w:space="0"/>
              <w:bottom w:val="single" w:color="000000" w:sz="4" w:space="0"/>
            </w:tcBorders>
          </w:tcPr>
          <w:p>
            <w:pPr>
              <w:pStyle w:val="12"/>
              <w:spacing w:before="11"/>
              <w:rPr>
                <w:b/>
                <w:sz w:val="23"/>
              </w:rPr>
            </w:pPr>
          </w:p>
          <w:p>
            <w:pPr>
              <w:pStyle w:val="12"/>
              <w:ind w:left="109"/>
              <w:rPr>
                <w:sz w:val="21"/>
              </w:rPr>
            </w:pPr>
            <w:r>
              <w:rPr>
                <w:sz w:val="21"/>
              </w:rPr>
              <w:t>《贵州省水污染防治条例》（2018 年修正）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51"/>
              <w:ind w:left="109"/>
              <w:rPr>
                <w:sz w:val="21"/>
              </w:rPr>
            </w:pPr>
            <w:r>
              <w:rPr>
                <w:rFonts w:ascii="Calibri" w:eastAsia="Calibri"/>
                <w:sz w:val="21"/>
              </w:rPr>
              <w:t>3.</w:t>
            </w:r>
            <w:r>
              <w:rPr>
                <w:sz w:val="21"/>
              </w:rPr>
              <w:t>从事有毒有害物质生产、使用、运输、贮存、处置的单位和个人，应当按照规定配备防治水污染事件的应急设施和物品。</w:t>
            </w:r>
          </w:p>
        </w:tc>
        <w:tc>
          <w:tcPr>
            <w:tcW w:w="5676"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42"/>
              <w:ind w:left="109"/>
              <w:rPr>
                <w:sz w:val="21"/>
              </w:rPr>
            </w:pPr>
            <w:r>
              <w:rPr>
                <w:rFonts w:ascii="Calibri" w:hAnsi="Calibri" w:eastAsia="Calibri"/>
                <w:sz w:val="21"/>
              </w:rPr>
              <w:t>4.</w:t>
            </w:r>
            <w:r>
              <w:rPr>
                <w:sz w:val="21"/>
              </w:rPr>
              <w:t>纳入“</w:t>
            </w:r>
            <w:r>
              <w:rPr>
                <w:rFonts w:ascii="Calibri" w:hAnsi="Calibri" w:eastAsia="Calibri"/>
                <w:sz w:val="21"/>
              </w:rPr>
              <w:t xml:space="preserve">100 </w:t>
            </w:r>
            <w:r>
              <w:rPr>
                <w:sz w:val="21"/>
              </w:rPr>
              <w:t>个产业园区成长工程”的产业园区应建成污水集中处理设施，并安装自动在线监控装置。</w:t>
            </w:r>
          </w:p>
        </w:tc>
        <w:tc>
          <w:tcPr>
            <w:tcW w:w="5676" w:type="dxa"/>
            <w:tcBorders>
              <w:top w:val="single" w:color="000000" w:sz="4" w:space="0"/>
            </w:tcBorders>
          </w:tcPr>
          <w:p>
            <w:pPr>
              <w:pStyle w:val="12"/>
              <w:spacing w:before="49"/>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 w:line="244" w:lineRule="exact"/>
              <w:ind w:left="109" w:right="96"/>
              <w:rPr>
                <w:sz w:val="21"/>
              </w:rPr>
            </w:pPr>
            <w:r>
              <w:rPr>
                <w:rFonts w:ascii="Calibri" w:eastAsia="Calibri"/>
                <w:sz w:val="21"/>
              </w:rPr>
              <w:t>5.</w:t>
            </w:r>
            <w:r>
              <w:rPr>
                <w:sz w:val="21"/>
              </w:rPr>
              <w:t>建立健全地下水动态监测、预警预报和监督管理体系。制定完善地下水保护措施，防止地下水过度开发、水质污染和水源破坏。</w:t>
            </w:r>
          </w:p>
        </w:tc>
        <w:tc>
          <w:tcPr>
            <w:tcW w:w="5676" w:type="dxa"/>
          </w:tcPr>
          <w:p>
            <w:pPr>
              <w:pStyle w:val="12"/>
              <w:spacing w:before="114"/>
              <w:ind w:left="109"/>
              <w:rPr>
                <w:sz w:val="21"/>
              </w:rPr>
            </w:pPr>
            <w:r>
              <w:rPr>
                <w:sz w:val="21"/>
              </w:rPr>
              <w:t>《贵州省100 个产业园区成长工程2013 年工作方案》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tcBorders>
          </w:tcPr>
          <w:p>
            <w:pPr>
              <w:pStyle w:val="12"/>
              <w:spacing w:line="236" w:lineRule="exact"/>
              <w:ind w:left="109"/>
              <w:rPr>
                <w:sz w:val="21"/>
              </w:rPr>
            </w:pPr>
            <w:r>
              <w:rPr>
                <w:rFonts w:ascii="Calibri" w:eastAsia="Calibri"/>
                <w:sz w:val="21"/>
              </w:rPr>
              <w:t>6.</w:t>
            </w:r>
            <w:r>
              <w:rPr>
                <w:sz w:val="21"/>
              </w:rPr>
              <w:t>在地面沉降、地裂缝、岩溶塌陷等地质灾害易发区开发利用地下水，须进行地质灾害危险性评估。</w:t>
            </w:r>
          </w:p>
        </w:tc>
        <w:tc>
          <w:tcPr>
            <w:tcW w:w="5676" w:type="dxa"/>
            <w:tcBorders>
              <w:bottom w:val="single" w:color="000000" w:sz="4" w:space="0"/>
            </w:tcBorders>
          </w:tcPr>
          <w:p>
            <w:pPr>
              <w:pStyle w:val="12"/>
              <w:spacing w:line="236" w:lineRule="exact"/>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restart"/>
          </w:tcPr>
          <w:p>
            <w:pPr>
              <w:pStyle w:val="12"/>
              <w:rPr>
                <w:b/>
                <w:sz w:val="20"/>
              </w:rPr>
            </w:pPr>
          </w:p>
          <w:p>
            <w:pPr>
              <w:pStyle w:val="12"/>
              <w:rPr>
                <w:b/>
                <w:sz w:val="20"/>
              </w:rPr>
            </w:pPr>
          </w:p>
          <w:p>
            <w:pPr>
              <w:pStyle w:val="12"/>
              <w:rPr>
                <w:b/>
                <w:sz w:val="20"/>
              </w:rPr>
            </w:pPr>
          </w:p>
          <w:p>
            <w:pPr>
              <w:pStyle w:val="12"/>
              <w:spacing w:before="146"/>
              <w:ind w:left="302"/>
              <w:rPr>
                <w:sz w:val="21"/>
              </w:rPr>
            </w:pPr>
            <w:r>
              <w:rPr>
                <w:sz w:val="21"/>
              </w:rPr>
              <w:t>资源开发效率要求</w:t>
            </w:r>
          </w:p>
        </w:tc>
        <w:tc>
          <w:tcPr>
            <w:tcW w:w="11723" w:type="dxa"/>
            <w:tcBorders>
              <w:bottom w:val="single" w:color="000000" w:sz="4" w:space="0"/>
            </w:tcBorders>
          </w:tcPr>
          <w:p>
            <w:pPr>
              <w:pStyle w:val="12"/>
              <w:spacing w:before="39"/>
              <w:ind w:left="109"/>
              <w:rPr>
                <w:sz w:val="21"/>
              </w:rPr>
            </w:pPr>
            <w:r>
              <w:rPr>
                <w:sz w:val="21"/>
              </w:rPr>
              <w:t>1.提高工业用水循环利用率。加强电解锰企业废水闭路循环利用；鼓励化工等高耗水企业废水深度处理回用。</w:t>
            </w:r>
          </w:p>
        </w:tc>
        <w:tc>
          <w:tcPr>
            <w:tcW w:w="5676"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spacing w:before="151"/>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45" w:lineRule="exact"/>
              <w:ind w:left="109"/>
              <w:rPr>
                <w:sz w:val="21"/>
              </w:rPr>
            </w:pPr>
            <w:r>
              <w:rPr>
                <w:sz w:val="21"/>
              </w:rPr>
              <w:t>2.促进再生水利用。加强非常规水源开发利用，推进城市污水、矿井涌水处理回用。工业生产、城市绿化、道路清扫、车辆冲</w:t>
            </w:r>
          </w:p>
          <w:p>
            <w:pPr>
              <w:pStyle w:val="12"/>
              <w:spacing w:before="4" w:line="244" w:lineRule="exact"/>
              <w:ind w:left="109" w:right="94"/>
              <w:rPr>
                <w:sz w:val="21"/>
              </w:rPr>
            </w:pPr>
            <w:r>
              <w:rPr>
                <w:spacing w:val="-8"/>
                <w:sz w:val="21"/>
              </w:rPr>
              <w:t>洗、建筑施工以及生态景观等用水，优先使用再生水。推进高速公路服务区污水处理和利用。具备使用再生水条件但未充分利</w:t>
            </w:r>
            <w:r>
              <w:rPr>
                <w:spacing w:val="-5"/>
                <w:sz w:val="21"/>
              </w:rPr>
              <w:t>用的火电、化工类项目，不得批准其新增取水许可。</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5" w:line="218" w:lineRule="auto"/>
              <w:ind w:left="109" w:right="95"/>
              <w:rPr>
                <w:sz w:val="21"/>
              </w:rPr>
            </w:pPr>
            <w:r>
              <w:rPr>
                <w:sz w:val="21"/>
              </w:rPr>
              <w:t>3.</w:t>
            </w:r>
            <w:r>
              <w:rPr>
                <w:spacing w:val="-7"/>
                <w:sz w:val="21"/>
              </w:rPr>
              <w:t xml:space="preserve">建立重点监控用水单位名录，对纳入取水许可管理的单位和年取水 </w:t>
            </w:r>
            <w:r>
              <w:rPr>
                <w:sz w:val="21"/>
              </w:rPr>
              <w:t>50</w:t>
            </w:r>
            <w:r>
              <w:rPr>
                <w:spacing w:val="-28"/>
                <w:sz w:val="21"/>
              </w:rPr>
              <w:t xml:space="preserve"> 万 </w:t>
            </w:r>
            <w:r>
              <w:rPr>
                <w:sz w:val="21"/>
              </w:rPr>
              <w:t>m3</w:t>
            </w:r>
            <w:r>
              <w:rPr>
                <w:spacing w:val="-9"/>
                <w:sz w:val="21"/>
              </w:rPr>
              <w:t xml:space="preserve"> 以上的其他用水大户实行计划用水管理。新建和</w:t>
            </w:r>
            <w:r>
              <w:rPr>
                <w:spacing w:val="-10"/>
                <w:sz w:val="21"/>
              </w:rPr>
              <w:t xml:space="preserve">改扩建项目节水设施应与主体工程同时设计、同时施工、同时投用。到 </w:t>
            </w:r>
            <w:r>
              <w:rPr>
                <w:sz w:val="21"/>
              </w:rPr>
              <w:t>2020</w:t>
            </w:r>
            <w:r>
              <w:rPr>
                <w:spacing w:val="-12"/>
                <w:sz w:val="21"/>
              </w:rPr>
              <w:t xml:space="preserve"> 年，全省用水总量控制在 </w:t>
            </w:r>
            <w:r>
              <w:rPr>
                <w:sz w:val="21"/>
              </w:rPr>
              <w:t>134</w:t>
            </w:r>
            <w:r>
              <w:rPr>
                <w:spacing w:val="-30"/>
                <w:sz w:val="21"/>
              </w:rPr>
              <w:t xml:space="preserve"> 亿 </w:t>
            </w:r>
            <w:r>
              <w:rPr>
                <w:sz w:val="21"/>
              </w:rPr>
              <w:t>m3</w:t>
            </w:r>
            <w:r>
              <w:rPr>
                <w:spacing w:val="-11"/>
                <w:sz w:val="21"/>
              </w:rPr>
              <w:t xml:space="preserve"> 以内，全省万</w:t>
            </w:r>
          </w:p>
          <w:p>
            <w:pPr>
              <w:pStyle w:val="12"/>
              <w:spacing w:line="222" w:lineRule="exact"/>
              <w:ind w:left="109"/>
              <w:rPr>
                <w:sz w:val="21"/>
              </w:rPr>
            </w:pPr>
            <w:r>
              <w:rPr>
                <w:sz w:val="21"/>
              </w:rPr>
              <w:t>元地区生产总值用水量比 2013 年下降 35%以上。</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tcBorders>
          </w:tcPr>
          <w:p>
            <w:pPr>
              <w:pStyle w:val="12"/>
              <w:spacing w:line="227" w:lineRule="exact"/>
              <w:ind w:left="109"/>
              <w:rPr>
                <w:sz w:val="21"/>
              </w:rPr>
            </w:pPr>
            <w:r>
              <w:rPr>
                <w:sz w:val="21"/>
              </w:rPr>
              <w:t>4.合理规划、有序推进地下水开发利用，严格控制浅层地温能和深层承压水开发利用。</w:t>
            </w:r>
          </w:p>
        </w:tc>
        <w:tc>
          <w:tcPr>
            <w:tcW w:w="5676"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0" w:type="dxa"/>
            <w:vMerge w:val="continue"/>
            <w:tcBorders>
              <w:top w:val="nil"/>
            </w:tcBorders>
          </w:tcPr>
          <w:p>
            <w:pPr>
              <w:rPr>
                <w:sz w:val="2"/>
                <w:szCs w:val="2"/>
              </w:rPr>
            </w:pPr>
          </w:p>
        </w:tc>
        <w:tc>
          <w:tcPr>
            <w:tcW w:w="761"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17"/>
              </w:rPr>
            </w:pPr>
          </w:p>
          <w:p>
            <w:pPr>
              <w:pStyle w:val="12"/>
              <w:spacing w:line="218" w:lineRule="auto"/>
              <w:ind w:left="108" w:right="223"/>
              <w:jc w:val="both"/>
              <w:rPr>
                <w:sz w:val="21"/>
              </w:rPr>
            </w:pPr>
            <w:r>
              <w:rPr>
                <w:sz w:val="21"/>
              </w:rPr>
              <w:t>城镇生活污染</w:t>
            </w:r>
          </w:p>
        </w:tc>
        <w:tc>
          <w:tcPr>
            <w:tcW w:w="415" w:type="dxa"/>
            <w:vMerge w:val="restart"/>
            <w:tcBorders>
              <w:bottom w:val="single" w:color="000000" w:sz="4" w:space="0"/>
            </w:tcBorders>
          </w:tcPr>
          <w:p>
            <w:pPr>
              <w:pStyle w:val="12"/>
              <w:rPr>
                <w:b/>
                <w:sz w:val="20"/>
              </w:rPr>
            </w:pPr>
          </w:p>
          <w:p>
            <w:pPr>
              <w:pStyle w:val="12"/>
              <w:rPr>
                <w:b/>
                <w:sz w:val="20"/>
              </w:rPr>
            </w:pPr>
          </w:p>
          <w:p>
            <w:pPr>
              <w:pStyle w:val="12"/>
              <w:spacing w:before="7"/>
              <w:rPr>
                <w:b/>
                <w:sz w:val="28"/>
              </w:rPr>
            </w:pPr>
          </w:p>
          <w:p>
            <w:pPr>
              <w:pStyle w:val="12"/>
              <w:spacing w:before="1" w:line="218" w:lineRule="auto"/>
              <w:ind w:left="108" w:right="88"/>
              <w:jc w:val="both"/>
              <w:rPr>
                <w:sz w:val="21"/>
              </w:rPr>
            </w:pPr>
            <w:r>
              <w:rPr>
                <w:sz w:val="21"/>
              </w:rPr>
              <w:t>空间布局约束</w:t>
            </w:r>
          </w:p>
        </w:tc>
        <w:tc>
          <w:tcPr>
            <w:tcW w:w="1869" w:type="dxa"/>
          </w:tcPr>
          <w:p>
            <w:pPr>
              <w:pStyle w:val="12"/>
              <w:spacing w:before="49" w:line="218" w:lineRule="auto"/>
              <w:ind w:left="514" w:right="188" w:hanging="315"/>
              <w:rPr>
                <w:sz w:val="21"/>
              </w:rPr>
            </w:pPr>
            <w:r>
              <w:rPr>
                <w:sz w:val="21"/>
              </w:rPr>
              <w:t>禁止开发建设活动的要求</w:t>
            </w:r>
          </w:p>
        </w:tc>
        <w:tc>
          <w:tcPr>
            <w:tcW w:w="11723" w:type="dxa"/>
            <w:tcBorders>
              <w:bottom w:val="single" w:color="000000" w:sz="4" w:space="0"/>
            </w:tcBorders>
          </w:tcPr>
          <w:p>
            <w:pPr>
              <w:pStyle w:val="12"/>
              <w:spacing w:before="49" w:line="218" w:lineRule="auto"/>
              <w:ind w:left="109" w:right="94"/>
              <w:rPr>
                <w:sz w:val="21"/>
              </w:rPr>
            </w:pPr>
            <w:r>
              <w:rPr>
                <w:spacing w:val="-5"/>
                <w:sz w:val="21"/>
              </w:rPr>
              <w:t>(严格城市规划蓝线管理)城市规划区范围内应保留一定比例的水域面积。新建项目一律不得违规突破城市规划蓝线。严格水域</w:t>
            </w:r>
            <w:r>
              <w:rPr>
                <w:spacing w:val="-4"/>
                <w:sz w:val="21"/>
              </w:rPr>
              <w:t>岸线用途管制，土地开发利用应按照有关法律法规和技术标准要求留足河道，湖库的管理和保护范围，非法挤占限期退出。</w:t>
            </w:r>
          </w:p>
        </w:tc>
        <w:tc>
          <w:tcPr>
            <w:tcW w:w="5676" w:type="dxa"/>
            <w:tcBorders>
              <w:bottom w:val="single" w:color="000000" w:sz="4" w:space="0"/>
            </w:tcBorders>
          </w:tcPr>
          <w:p>
            <w:pPr>
              <w:pStyle w:val="12"/>
              <w:spacing w:before="157"/>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restart"/>
          </w:tcPr>
          <w:p>
            <w:pPr>
              <w:pStyle w:val="12"/>
              <w:rPr>
                <w:b/>
                <w:sz w:val="20"/>
              </w:rPr>
            </w:pPr>
          </w:p>
          <w:p>
            <w:pPr>
              <w:pStyle w:val="12"/>
              <w:rPr>
                <w:b/>
                <w:sz w:val="20"/>
              </w:rPr>
            </w:pPr>
          </w:p>
          <w:p>
            <w:pPr>
              <w:pStyle w:val="12"/>
              <w:spacing w:before="9"/>
              <w:rPr>
                <w:b/>
                <w:sz w:val="14"/>
              </w:rPr>
            </w:pPr>
          </w:p>
          <w:p>
            <w:pPr>
              <w:pStyle w:val="12"/>
              <w:spacing w:before="1" w:line="220" w:lineRule="auto"/>
              <w:ind w:left="305" w:right="188" w:hanging="106"/>
              <w:rPr>
                <w:sz w:val="21"/>
              </w:rPr>
            </w:pPr>
            <w:r>
              <w:rPr>
                <w:sz w:val="21"/>
              </w:rPr>
              <w:t>允许开发建设活动的特殊要求</w:t>
            </w:r>
          </w:p>
        </w:tc>
        <w:tc>
          <w:tcPr>
            <w:tcW w:w="11723" w:type="dxa"/>
            <w:tcBorders>
              <w:top w:val="single" w:color="000000" w:sz="4" w:space="0"/>
              <w:bottom w:val="single" w:color="000000" w:sz="4" w:space="0"/>
            </w:tcBorders>
          </w:tcPr>
          <w:p>
            <w:pPr>
              <w:pStyle w:val="12"/>
              <w:spacing w:line="245" w:lineRule="exact"/>
              <w:ind w:left="109"/>
              <w:rPr>
                <w:sz w:val="21"/>
              </w:rPr>
            </w:pPr>
            <w:r>
              <w:rPr>
                <w:sz w:val="21"/>
              </w:rPr>
              <w:t>1.县级以上人民政府应当根据城镇排水与污水处理规划，有计划地组织建设城镇污水处理设施、再生水利用设施和与其相配套</w:t>
            </w:r>
          </w:p>
          <w:p>
            <w:pPr>
              <w:pStyle w:val="12"/>
              <w:spacing w:before="4" w:line="244" w:lineRule="exact"/>
              <w:ind w:left="109" w:right="96"/>
              <w:rPr>
                <w:sz w:val="21"/>
              </w:rPr>
            </w:pPr>
            <w:r>
              <w:rPr>
                <w:sz w:val="21"/>
              </w:rPr>
              <w:t>的城镇排水管网;按照雨污分流原则，明确排水与排污管网、泵站、污水处理厂等城镇污水集中处理设施的规模、布局、建设时序和保障措施，并按要求完成。</w:t>
            </w:r>
          </w:p>
        </w:tc>
        <w:tc>
          <w:tcPr>
            <w:tcW w:w="5676" w:type="dxa"/>
            <w:vMerge w:val="restart"/>
            <w:tcBorders>
              <w:top w:val="single" w:color="000000" w:sz="4" w:space="0"/>
              <w:bottom w:val="single" w:color="000000" w:sz="4" w:space="0"/>
            </w:tcBorders>
          </w:tcPr>
          <w:p>
            <w:pPr>
              <w:pStyle w:val="12"/>
              <w:spacing w:before="8"/>
              <w:rPr>
                <w:b/>
                <w:sz w:val="29"/>
              </w:rPr>
            </w:pPr>
          </w:p>
          <w:p>
            <w:pPr>
              <w:pStyle w:val="12"/>
              <w:ind w:left="109"/>
              <w:rPr>
                <w:sz w:val="21"/>
              </w:rPr>
            </w:pPr>
            <w:r>
              <w:rPr>
                <w:sz w:val="21"/>
              </w:rPr>
              <w:t>《贵州省水污染防治条例》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 w:line="255" w:lineRule="exact"/>
              <w:ind w:left="109"/>
              <w:rPr>
                <w:sz w:val="21"/>
              </w:rPr>
            </w:pPr>
            <w:r>
              <w:rPr>
                <w:sz w:val="21"/>
              </w:rPr>
              <w:t>2. 鼓励建设再生水回用设施，使用再生水。</w:t>
            </w:r>
          </w:p>
        </w:tc>
        <w:tc>
          <w:tcPr>
            <w:tcW w:w="5676"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5" w:line="244" w:lineRule="exact"/>
              <w:ind w:left="109" w:right="94"/>
              <w:rPr>
                <w:sz w:val="21"/>
              </w:rPr>
            </w:pPr>
            <w:r>
              <w:rPr>
                <w:sz w:val="21"/>
              </w:rPr>
              <w:t>3.</w:t>
            </w:r>
            <w:r>
              <w:rPr>
                <w:spacing w:val="-5"/>
                <w:sz w:val="21"/>
              </w:rPr>
              <w:t>敏感区域</w:t>
            </w:r>
            <w:r>
              <w:rPr>
                <w:sz w:val="21"/>
              </w:rPr>
              <w:t>（</w:t>
            </w:r>
            <w:r>
              <w:rPr>
                <w:spacing w:val="-5"/>
                <w:sz w:val="21"/>
              </w:rPr>
              <w:t>重点湖泊、重点水库</w:t>
            </w:r>
            <w:r>
              <w:rPr>
                <w:spacing w:val="-13"/>
                <w:sz w:val="21"/>
              </w:rPr>
              <w:t>）</w:t>
            </w:r>
            <w:r>
              <w:rPr>
                <w:spacing w:val="-5"/>
                <w:sz w:val="21"/>
              </w:rPr>
              <w:t>新建城镇污水处理设施，应按照水环境容量和排污总量控制要求，选择脱氮除磷效果好的</w:t>
            </w:r>
            <w:r>
              <w:rPr>
                <w:spacing w:val="-4"/>
                <w:sz w:val="21"/>
              </w:rPr>
              <w:t>工艺技术，出水水质应达到相应标准要求。</w:t>
            </w:r>
          </w:p>
        </w:tc>
        <w:tc>
          <w:tcPr>
            <w:tcW w:w="5676" w:type="dxa"/>
            <w:tcBorders>
              <w:top w:val="single" w:color="000000" w:sz="4" w:space="0"/>
              <w:bottom w:val="single" w:color="000000" w:sz="4" w:space="0"/>
            </w:tcBorders>
          </w:tcPr>
          <w:p>
            <w:pPr>
              <w:pStyle w:val="12"/>
              <w:spacing w:line="260" w:lineRule="exact"/>
              <w:ind w:left="109" w:right="77"/>
              <w:rPr>
                <w:sz w:val="21"/>
              </w:rPr>
            </w:pPr>
            <w:r>
              <w:rPr>
                <w:spacing w:val="-26"/>
                <w:sz w:val="21"/>
              </w:rPr>
              <w:t>《贵州省 "十三五" 环境保护规划》</w:t>
            </w:r>
            <w:r>
              <w:rPr>
                <w:spacing w:val="-20"/>
                <w:sz w:val="21"/>
              </w:rPr>
              <w:t>（</w:t>
            </w:r>
            <w:r>
              <w:rPr>
                <w:spacing w:val="-18"/>
                <w:sz w:val="21"/>
              </w:rPr>
              <w:t xml:space="preserve">黔环通 </w:t>
            </w:r>
            <w:r>
              <w:rPr>
                <w:spacing w:val="-9"/>
                <w:sz w:val="21"/>
              </w:rPr>
              <w:t>(2017</w:t>
            </w:r>
            <w:r>
              <w:rPr>
                <w:spacing w:val="-28"/>
                <w:sz w:val="21"/>
              </w:rPr>
              <w:t xml:space="preserve">] </w:t>
            </w:r>
            <w:r>
              <w:rPr>
                <w:spacing w:val="-5"/>
                <w:sz w:val="21"/>
              </w:rPr>
              <w:t>16</w:t>
            </w:r>
            <w:r>
              <w:rPr>
                <w:spacing w:val="-41"/>
                <w:sz w:val="21"/>
              </w:rPr>
              <w:t xml:space="preserve"> 号</w:t>
            </w:r>
            <w:r>
              <w:rPr>
                <w:spacing w:val="-116"/>
                <w:sz w:val="21"/>
              </w:rPr>
              <w:t>）</w:t>
            </w:r>
            <w:r>
              <w:rPr>
                <w:spacing w:val="-46"/>
                <w:sz w:val="21"/>
              </w:rPr>
              <w:t>、《贵</w:t>
            </w:r>
            <w:r>
              <w:rPr>
                <w:spacing w:val="-20"/>
                <w:sz w:val="21"/>
              </w:rPr>
              <w:t>州省“十三五”城镇污水处理及再生水利用设施建设规划》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25"/>
              <w:ind w:left="109"/>
              <w:rPr>
                <w:sz w:val="21"/>
              </w:rPr>
            </w:pPr>
            <w:r>
              <w:rPr>
                <w:sz w:val="21"/>
              </w:rPr>
              <w:t>4.建成区水体未达到地表水Ⅳ类标准的城市，新建污水处理设施出水水质应达到一级 A 排放标准或再生利用要求。</w:t>
            </w:r>
          </w:p>
        </w:tc>
        <w:tc>
          <w:tcPr>
            <w:tcW w:w="5676" w:type="dxa"/>
            <w:tcBorders>
              <w:top w:val="single" w:color="000000" w:sz="4" w:space="0"/>
              <w:bottom w:val="single" w:color="000000" w:sz="4" w:space="0"/>
            </w:tcBorders>
          </w:tcPr>
          <w:p>
            <w:pPr>
              <w:pStyle w:val="12"/>
              <w:spacing w:before="29"/>
              <w:ind w:left="109"/>
              <w:rPr>
                <w:sz w:val="21"/>
              </w:rPr>
            </w:pPr>
            <w:r>
              <w:rPr>
                <w:spacing w:val="-20"/>
                <w:sz w:val="21"/>
              </w:rPr>
              <w:t>《贵州省“十三五”城镇污水处理及再生水利用设施建设规划》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bottom w:val="single" w:color="000000" w:sz="4" w:space="0"/>
            </w:tcBorders>
          </w:tcPr>
          <w:p>
            <w:pPr>
              <w:rPr>
                <w:sz w:val="2"/>
                <w:szCs w:val="2"/>
              </w:rPr>
            </w:pPr>
          </w:p>
        </w:tc>
        <w:tc>
          <w:tcPr>
            <w:tcW w:w="1869" w:type="dxa"/>
          </w:tcPr>
          <w:p>
            <w:pPr>
              <w:pStyle w:val="12"/>
              <w:spacing w:line="245" w:lineRule="exact"/>
              <w:ind w:left="199"/>
              <w:rPr>
                <w:sz w:val="21"/>
              </w:rPr>
            </w:pPr>
            <w:r>
              <w:rPr>
                <w:sz w:val="21"/>
              </w:rPr>
              <w:t>不符合空间布局</w:t>
            </w:r>
          </w:p>
          <w:p>
            <w:pPr>
              <w:pStyle w:val="12"/>
              <w:spacing w:before="4" w:line="244" w:lineRule="exact"/>
              <w:ind w:left="725" w:right="188" w:hanging="526"/>
              <w:rPr>
                <w:sz w:val="21"/>
              </w:rPr>
            </w:pPr>
            <w:r>
              <w:rPr>
                <w:sz w:val="21"/>
              </w:rPr>
              <w:t>要求活动的退出要求</w:t>
            </w:r>
          </w:p>
        </w:tc>
        <w:tc>
          <w:tcPr>
            <w:tcW w:w="11723" w:type="dxa"/>
            <w:tcBorders>
              <w:top w:val="single" w:color="000000" w:sz="4" w:space="0"/>
            </w:tcBorders>
          </w:tcPr>
          <w:p>
            <w:pPr>
              <w:pStyle w:val="12"/>
              <w:spacing w:before="126" w:line="220" w:lineRule="auto"/>
              <w:ind w:left="109" w:right="94"/>
              <w:rPr>
                <w:sz w:val="21"/>
              </w:rPr>
            </w:pPr>
            <w:r>
              <w:rPr>
                <w:spacing w:val="-7"/>
                <w:sz w:val="21"/>
              </w:rPr>
              <w:t>建设生活垃圾处置设施和Ⅱ类一般工业固体废物储存、处置场，应当采取防渗、防漏等环境保护处理措施，并且不得在毗邻地</w:t>
            </w:r>
            <w:r>
              <w:rPr>
                <w:spacing w:val="-5"/>
                <w:sz w:val="21"/>
              </w:rPr>
              <w:t>表水体的区域和泄洪区内建设;已经建设的，由所在地县级人民政府责令限期搬迁。</w:t>
            </w:r>
          </w:p>
        </w:tc>
        <w:tc>
          <w:tcPr>
            <w:tcW w:w="5676" w:type="dxa"/>
            <w:tcBorders>
              <w:top w:val="single" w:color="000000" w:sz="4" w:space="0"/>
              <w:bottom w:val="single" w:color="000000" w:sz="4" w:space="0"/>
            </w:tcBorders>
          </w:tcPr>
          <w:p>
            <w:pPr>
              <w:pStyle w:val="12"/>
              <w:spacing w:before="12"/>
              <w:rPr>
                <w:b/>
                <w:sz w:val="19"/>
              </w:rPr>
            </w:pPr>
          </w:p>
          <w:p>
            <w:pPr>
              <w:pStyle w:val="12"/>
              <w:ind w:left="109"/>
              <w:rPr>
                <w:sz w:val="21"/>
              </w:rPr>
            </w:pPr>
            <w:r>
              <w:rPr>
                <w:sz w:val="21"/>
              </w:rPr>
              <w:t>《贵州省水污染防治条例》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spacing w:before="170" w:line="218" w:lineRule="auto"/>
              <w:ind w:left="108" w:right="88"/>
              <w:jc w:val="both"/>
              <w:rPr>
                <w:sz w:val="21"/>
              </w:rPr>
            </w:pPr>
            <w:r>
              <w:rPr>
                <w:sz w:val="21"/>
              </w:rPr>
              <w:t>污染物排放管控</w:t>
            </w:r>
          </w:p>
        </w:tc>
        <w:tc>
          <w:tcPr>
            <w:tcW w:w="1869"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1"/>
              </w:rPr>
            </w:pPr>
          </w:p>
          <w:p>
            <w:pPr>
              <w:pStyle w:val="12"/>
              <w:spacing w:line="220" w:lineRule="auto"/>
              <w:ind w:left="725" w:right="188" w:hanging="526"/>
              <w:rPr>
                <w:sz w:val="21"/>
              </w:rPr>
            </w:pPr>
            <w:r>
              <w:rPr>
                <w:sz w:val="21"/>
              </w:rPr>
              <w:t>水污染控制措施要求</w:t>
            </w:r>
          </w:p>
        </w:tc>
        <w:tc>
          <w:tcPr>
            <w:tcW w:w="11723" w:type="dxa"/>
            <w:tcBorders>
              <w:bottom w:val="single" w:color="000000" w:sz="4" w:space="0"/>
            </w:tcBorders>
          </w:tcPr>
          <w:p>
            <w:pPr>
              <w:pStyle w:val="12"/>
              <w:spacing w:before="25"/>
              <w:ind w:left="109"/>
              <w:rPr>
                <w:sz w:val="21"/>
              </w:rPr>
            </w:pPr>
            <w:r>
              <w:rPr>
                <w:rFonts w:ascii="Times New Roman" w:eastAsia="Times New Roman"/>
                <w:sz w:val="21"/>
              </w:rPr>
              <w:t>1.</w:t>
            </w:r>
            <w:r>
              <w:rPr>
                <w:sz w:val="21"/>
              </w:rPr>
              <w:t>新建的城镇建设项目应当配套建设雨污分流系统，已建项目应当完善雨污分流系统。</w:t>
            </w:r>
          </w:p>
        </w:tc>
        <w:tc>
          <w:tcPr>
            <w:tcW w:w="5676" w:type="dxa"/>
            <w:tcBorders>
              <w:top w:val="single" w:color="000000" w:sz="4" w:space="0"/>
              <w:bottom w:val="single" w:color="000000" w:sz="4" w:space="0"/>
            </w:tcBorders>
          </w:tcPr>
          <w:p>
            <w:pPr>
              <w:pStyle w:val="12"/>
              <w:spacing w:before="49" w:line="252" w:lineRule="exact"/>
              <w:ind w:left="109"/>
              <w:rPr>
                <w:sz w:val="21"/>
              </w:rPr>
            </w:pPr>
            <w:r>
              <w:rPr>
                <w:sz w:val="21"/>
              </w:rPr>
              <w:t>《贵州省水污染防治条例》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45" w:lineRule="exact"/>
              <w:ind w:left="109"/>
              <w:rPr>
                <w:sz w:val="21"/>
              </w:rPr>
            </w:pPr>
            <w:r>
              <w:rPr>
                <w:rFonts w:ascii="Times New Roman" w:eastAsia="Times New Roman"/>
                <w:sz w:val="21"/>
              </w:rPr>
              <w:t>2.</w:t>
            </w:r>
            <w:r>
              <w:rPr>
                <w:sz w:val="21"/>
              </w:rPr>
              <w:t>污水处理单位对所产生的污泥的贮存、运输、处理、处置全过程承担污染防治责任，保证处理处置后的污泥符合国家标准，</w:t>
            </w:r>
          </w:p>
          <w:p>
            <w:pPr>
              <w:pStyle w:val="12"/>
              <w:spacing w:before="4" w:line="244" w:lineRule="exact"/>
              <w:ind w:left="109" w:right="94"/>
              <w:rPr>
                <w:sz w:val="21"/>
              </w:rPr>
            </w:pPr>
            <w:r>
              <w:rPr>
                <w:spacing w:val="-8"/>
                <w:sz w:val="21"/>
              </w:rPr>
              <w:t>并对处理处置后的污泥的去向、用途、用量等进行跟踪、建立台帐，不得造成二次污染。污水处理单位将产生的污泥委托其他</w:t>
            </w:r>
            <w:r>
              <w:rPr>
                <w:spacing w:val="-5"/>
                <w:sz w:val="21"/>
              </w:rPr>
              <w:t>单位处置的，应当与被委托单位约定双方的污染防治责任，</w:t>
            </w:r>
            <w:r>
              <w:rPr>
                <w:rFonts w:ascii="Times New Roman" w:eastAsia="Times New Roman"/>
                <w:sz w:val="21"/>
              </w:rPr>
              <w:t xml:space="preserve">2020 </w:t>
            </w:r>
            <w:r>
              <w:rPr>
                <w:spacing w:val="-5"/>
                <w:sz w:val="21"/>
              </w:rPr>
              <w:t xml:space="preserve">年底前全省市级以上城市污泥无害化处理处置率达 </w:t>
            </w:r>
            <w:r>
              <w:rPr>
                <w:rFonts w:ascii="Times New Roman" w:eastAsia="Times New Roman"/>
                <w:sz w:val="21"/>
              </w:rPr>
              <w:t>90%</w:t>
            </w:r>
            <w:r>
              <w:rPr>
                <w:sz w:val="21"/>
              </w:rPr>
              <w:t>。</w:t>
            </w:r>
          </w:p>
        </w:tc>
        <w:tc>
          <w:tcPr>
            <w:tcW w:w="5676" w:type="dxa"/>
            <w:tcBorders>
              <w:top w:val="single" w:color="000000" w:sz="4" w:space="0"/>
              <w:bottom w:val="single" w:color="000000" w:sz="4" w:space="0"/>
            </w:tcBorders>
          </w:tcPr>
          <w:p>
            <w:pPr>
              <w:pStyle w:val="12"/>
              <w:spacing w:before="46" w:line="320" w:lineRule="atLeast"/>
              <w:ind w:left="109" w:right="96"/>
              <w:rPr>
                <w:sz w:val="21"/>
              </w:rPr>
            </w:pPr>
            <w:r>
              <w:rPr>
                <w:spacing w:val="-17"/>
                <w:sz w:val="21"/>
              </w:rPr>
              <w:t>《贵州省水污染防治条例》、《贵州省城镇污水处理设施建设</w:t>
            </w:r>
            <w:r>
              <w:rPr>
                <w:spacing w:val="-7"/>
                <w:sz w:val="21"/>
              </w:rPr>
              <w:t>三年行动方案》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1" w:line="244" w:lineRule="exact"/>
              <w:ind w:left="109" w:right="97"/>
              <w:rPr>
                <w:sz w:val="21"/>
              </w:rPr>
            </w:pPr>
            <w:r>
              <w:rPr>
                <w:rFonts w:ascii="Times New Roman" w:eastAsia="Times New Roman"/>
                <w:sz w:val="21"/>
              </w:rPr>
              <w:t xml:space="preserve">3.2020 </w:t>
            </w:r>
            <w:r>
              <w:rPr>
                <w:spacing w:val="-8"/>
                <w:sz w:val="21"/>
              </w:rPr>
              <w:t xml:space="preserve">年，全省所有县城和重点镇具备污水收集处理能力，县城、城市污水处理率分别应达到 </w:t>
            </w:r>
            <w:r>
              <w:rPr>
                <w:rFonts w:ascii="Times New Roman" w:eastAsia="Times New Roman"/>
                <w:sz w:val="21"/>
              </w:rPr>
              <w:t>85%</w:t>
            </w:r>
            <w:r>
              <w:rPr>
                <w:spacing w:val="-17"/>
                <w:sz w:val="21"/>
              </w:rPr>
              <w:t>、</w:t>
            </w:r>
            <w:r>
              <w:rPr>
                <w:rFonts w:ascii="Times New Roman" w:eastAsia="Times New Roman"/>
                <w:spacing w:val="-3"/>
                <w:sz w:val="21"/>
              </w:rPr>
              <w:t>95%</w:t>
            </w:r>
            <w:r>
              <w:rPr>
                <w:spacing w:val="-3"/>
                <w:sz w:val="21"/>
              </w:rPr>
              <w:t>，</w:t>
            </w:r>
            <w:r>
              <w:rPr>
                <w:rFonts w:ascii="Times New Roman" w:eastAsia="Times New Roman"/>
                <w:spacing w:val="-3"/>
                <w:sz w:val="21"/>
              </w:rPr>
              <w:t xml:space="preserve">2020 </w:t>
            </w:r>
            <w:r>
              <w:rPr>
                <w:spacing w:val="-3"/>
                <w:sz w:val="21"/>
              </w:rPr>
              <w:t>年各地级城市建成区基本实现污水全收集、全处理。</w:t>
            </w:r>
          </w:p>
        </w:tc>
        <w:tc>
          <w:tcPr>
            <w:tcW w:w="5676" w:type="dxa"/>
            <w:tcBorders>
              <w:top w:val="single" w:color="000000" w:sz="4" w:space="0"/>
              <w:bottom w:val="single" w:color="000000" w:sz="4" w:space="0"/>
            </w:tcBorders>
          </w:tcPr>
          <w:p>
            <w:pPr>
              <w:pStyle w:val="12"/>
              <w:spacing w:before="142"/>
              <w:ind w:left="109"/>
              <w:rPr>
                <w:sz w:val="21"/>
              </w:rPr>
            </w:pPr>
            <w:r>
              <w:rPr>
                <w:sz w:val="21"/>
              </w:rPr>
              <w:t>《贵州省城镇污水处理设施建设三年行动方案》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8" w:line="218" w:lineRule="auto"/>
              <w:ind w:left="109" w:right="-15"/>
              <w:rPr>
                <w:sz w:val="21"/>
              </w:rPr>
            </w:pPr>
            <w:r>
              <w:rPr>
                <w:rFonts w:ascii="Times New Roman" w:hAnsi="Times New Roman" w:eastAsia="Times New Roman"/>
                <w:sz w:val="21"/>
              </w:rPr>
              <w:t>4.</w:t>
            </w:r>
            <w:r>
              <w:rPr>
                <w:spacing w:val="-14"/>
                <w:sz w:val="21"/>
              </w:rPr>
              <w:t>坚持生态为本、自然循环，坚持规划引领、统筹推进，坚持政府引导、社会参与，全面推进海绵城市建设。综合采取</w:t>
            </w:r>
            <w:r>
              <w:rPr>
                <w:rFonts w:ascii="Times New Roman" w:hAnsi="Times New Roman" w:eastAsia="Times New Roman"/>
                <w:sz w:val="21"/>
              </w:rPr>
              <w:t>“</w:t>
            </w:r>
            <w:r>
              <w:rPr>
                <w:spacing w:val="-8"/>
                <w:sz w:val="21"/>
              </w:rPr>
              <w:t>渗、滞、</w:t>
            </w:r>
            <w:r>
              <w:rPr>
                <w:spacing w:val="-5"/>
                <w:sz w:val="21"/>
              </w:rPr>
              <w:t>蓄、净、用、排</w:t>
            </w:r>
            <w:r>
              <w:rPr>
                <w:rFonts w:ascii="Times New Roman" w:hAnsi="Times New Roman" w:eastAsia="Times New Roman"/>
                <w:sz w:val="21"/>
              </w:rPr>
              <w:t>”</w:t>
            </w:r>
            <w:r>
              <w:rPr>
                <w:spacing w:val="-5"/>
                <w:sz w:val="21"/>
              </w:rPr>
              <w:t xml:space="preserve">等措施，最大限度地减少城市开发建设对生态环境的影响，将 </w:t>
            </w:r>
            <w:r>
              <w:rPr>
                <w:rFonts w:ascii="Times New Roman" w:hAnsi="Times New Roman" w:eastAsia="Times New Roman"/>
                <w:sz w:val="21"/>
              </w:rPr>
              <w:t>70%</w:t>
            </w:r>
            <w:r>
              <w:rPr>
                <w:spacing w:val="-3"/>
                <w:sz w:val="21"/>
              </w:rPr>
              <w:t>以上的降雨就地消纳和利用。</w:t>
            </w:r>
            <w:r>
              <w:rPr>
                <w:rFonts w:ascii="Times New Roman" w:hAnsi="Times New Roman" w:eastAsia="Times New Roman"/>
                <w:sz w:val="21"/>
              </w:rPr>
              <w:t>2020</w:t>
            </w:r>
            <w:r>
              <w:rPr>
                <w:rFonts w:ascii="Times New Roman" w:hAnsi="Times New Roman" w:eastAsia="Times New Roman"/>
                <w:spacing w:val="11"/>
                <w:sz w:val="21"/>
              </w:rPr>
              <w:t xml:space="preserve"> </w:t>
            </w:r>
            <w:r>
              <w:rPr>
                <w:spacing w:val="-2"/>
                <w:sz w:val="21"/>
              </w:rPr>
              <w:t>年，全</w:t>
            </w:r>
            <w:r>
              <w:rPr>
                <w:spacing w:val="-11"/>
                <w:sz w:val="21"/>
              </w:rPr>
              <w:t xml:space="preserve">省建成 </w:t>
            </w:r>
            <w:r>
              <w:rPr>
                <w:rFonts w:ascii="Times New Roman" w:hAnsi="Times New Roman" w:eastAsia="Times New Roman"/>
                <w:sz w:val="21"/>
              </w:rPr>
              <w:t>100</w:t>
            </w:r>
            <w:r>
              <w:rPr>
                <w:rFonts w:ascii="Times New Roman" w:hAnsi="Times New Roman" w:eastAsia="Times New Roman"/>
                <w:spacing w:val="15"/>
                <w:sz w:val="21"/>
              </w:rPr>
              <w:t xml:space="preserve"> </w:t>
            </w:r>
            <w:r>
              <w:rPr>
                <w:spacing w:val="-3"/>
                <w:sz w:val="21"/>
              </w:rPr>
              <w:t>条海绵型示范道路、</w:t>
            </w:r>
            <w:r>
              <w:rPr>
                <w:rFonts w:ascii="Times New Roman" w:hAnsi="Times New Roman" w:eastAsia="Times New Roman"/>
                <w:sz w:val="21"/>
              </w:rPr>
              <w:t>100</w:t>
            </w:r>
            <w:r>
              <w:rPr>
                <w:rFonts w:ascii="Times New Roman" w:hAnsi="Times New Roman" w:eastAsia="Times New Roman"/>
                <w:spacing w:val="15"/>
                <w:sz w:val="21"/>
              </w:rPr>
              <w:t xml:space="preserve"> </w:t>
            </w:r>
            <w:r>
              <w:rPr>
                <w:spacing w:val="-3"/>
                <w:sz w:val="21"/>
              </w:rPr>
              <w:t>个海绵型示范公园绿地、</w:t>
            </w:r>
            <w:r>
              <w:rPr>
                <w:rFonts w:ascii="Times New Roman" w:hAnsi="Times New Roman" w:eastAsia="Times New Roman"/>
                <w:sz w:val="21"/>
              </w:rPr>
              <w:t>100</w:t>
            </w:r>
            <w:r>
              <w:rPr>
                <w:rFonts w:ascii="Times New Roman" w:hAnsi="Times New Roman" w:eastAsia="Times New Roman"/>
                <w:spacing w:val="15"/>
                <w:sz w:val="21"/>
              </w:rPr>
              <w:t xml:space="preserve"> </w:t>
            </w:r>
            <w:r>
              <w:rPr>
                <w:spacing w:val="-7"/>
                <w:sz w:val="21"/>
              </w:rPr>
              <w:t xml:space="preserve">个海绵型示范小区和 </w:t>
            </w:r>
            <w:r>
              <w:rPr>
                <w:rFonts w:ascii="Times New Roman" w:hAnsi="Times New Roman" w:eastAsia="Times New Roman"/>
                <w:sz w:val="21"/>
              </w:rPr>
              <w:t>100</w:t>
            </w:r>
            <w:r>
              <w:rPr>
                <w:rFonts w:ascii="Times New Roman" w:hAnsi="Times New Roman" w:eastAsia="Times New Roman"/>
                <w:spacing w:val="14"/>
                <w:sz w:val="21"/>
              </w:rPr>
              <w:t xml:space="preserve"> </w:t>
            </w:r>
            <w:r>
              <w:rPr>
                <w:spacing w:val="-3"/>
                <w:sz w:val="21"/>
              </w:rPr>
              <w:t>条生态景观示范河道，城市建成区</w:t>
            </w:r>
            <w:r>
              <w:rPr>
                <w:rFonts w:ascii="Times New Roman" w:hAnsi="Times New Roman" w:eastAsia="Times New Roman"/>
                <w:spacing w:val="-3"/>
                <w:sz w:val="21"/>
              </w:rPr>
              <w:t>20%</w:t>
            </w:r>
            <w:r>
              <w:rPr>
                <w:spacing w:val="-4"/>
                <w:sz w:val="21"/>
              </w:rPr>
              <w:t xml:space="preserve">以上的面积达到海绵城市建设要求。到 </w:t>
            </w:r>
            <w:r>
              <w:rPr>
                <w:rFonts w:ascii="Times New Roman" w:hAnsi="Times New Roman" w:eastAsia="Times New Roman"/>
                <w:sz w:val="21"/>
              </w:rPr>
              <w:t>2030</w:t>
            </w:r>
            <w:r>
              <w:rPr>
                <w:rFonts w:ascii="Times New Roman" w:hAnsi="Times New Roman" w:eastAsia="Times New Roman"/>
                <w:spacing w:val="37"/>
                <w:sz w:val="21"/>
              </w:rPr>
              <w:t xml:space="preserve"> </w:t>
            </w:r>
            <w:r>
              <w:rPr>
                <w:spacing w:val="-4"/>
                <w:sz w:val="21"/>
              </w:rPr>
              <w:t xml:space="preserve">年，城市的规划建设管理基本实现低影响开发模式，城市建成区 </w:t>
            </w:r>
            <w:r>
              <w:rPr>
                <w:rFonts w:ascii="Times New Roman" w:hAnsi="Times New Roman" w:eastAsia="Times New Roman"/>
                <w:sz w:val="21"/>
              </w:rPr>
              <w:t>80%</w:t>
            </w:r>
            <w:r>
              <w:rPr>
                <w:spacing w:val="-2"/>
                <w:sz w:val="21"/>
              </w:rPr>
              <w:t>以上的</w:t>
            </w:r>
          </w:p>
          <w:p>
            <w:pPr>
              <w:pStyle w:val="12"/>
              <w:spacing w:line="224" w:lineRule="exact"/>
              <w:ind w:left="109"/>
              <w:rPr>
                <w:sz w:val="21"/>
              </w:rPr>
            </w:pPr>
            <w:r>
              <w:rPr>
                <w:sz w:val="21"/>
              </w:rPr>
              <w:t>面积达到海绵城市建设要求。</w:t>
            </w:r>
          </w:p>
        </w:tc>
        <w:tc>
          <w:tcPr>
            <w:tcW w:w="5676" w:type="dxa"/>
            <w:tcBorders>
              <w:top w:val="single" w:color="000000" w:sz="4" w:space="0"/>
              <w:bottom w:val="single" w:color="000000" w:sz="4" w:space="0"/>
            </w:tcBorders>
          </w:tcPr>
          <w:p>
            <w:pPr>
              <w:pStyle w:val="12"/>
              <w:rPr>
                <w:b/>
                <w:sz w:val="20"/>
              </w:rPr>
            </w:pPr>
          </w:p>
          <w:p>
            <w:pPr>
              <w:pStyle w:val="12"/>
              <w:spacing w:before="2"/>
              <w:rPr>
                <w:b/>
                <w:sz w:val="19"/>
              </w:rPr>
            </w:pPr>
          </w:p>
          <w:p>
            <w:pPr>
              <w:pStyle w:val="12"/>
              <w:spacing w:before="1"/>
              <w:ind w:left="109"/>
              <w:rPr>
                <w:sz w:val="21"/>
              </w:rPr>
            </w:pPr>
            <w:r>
              <w:rPr>
                <w:sz w:val="21"/>
              </w:rPr>
              <w:t>《贵州省海绵城市建设技术导则》(试行)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line="245" w:lineRule="exact"/>
              <w:ind w:left="109"/>
              <w:rPr>
                <w:sz w:val="21"/>
              </w:rPr>
            </w:pPr>
            <w:r>
              <w:rPr>
                <w:rFonts w:ascii="Times New Roman" w:eastAsia="Times New Roman"/>
                <w:sz w:val="21"/>
              </w:rPr>
              <w:t>5.</w:t>
            </w:r>
            <w:r>
              <w:rPr>
                <w:sz w:val="21"/>
              </w:rPr>
              <w:t>新建城镇生活污水处理设施全面执行一级</w:t>
            </w:r>
            <w:r>
              <w:rPr>
                <w:rFonts w:ascii="Times New Roman" w:eastAsia="Times New Roman"/>
                <w:sz w:val="21"/>
              </w:rPr>
              <w:t xml:space="preserve">A </w:t>
            </w:r>
            <w:r>
              <w:rPr>
                <w:sz w:val="21"/>
              </w:rPr>
              <w:t>排放标准。对不满足受纳水体生态质量要求的原有污水处理厂，按水体保护要求</w:t>
            </w:r>
          </w:p>
          <w:p>
            <w:pPr>
              <w:pStyle w:val="12"/>
              <w:spacing w:line="227" w:lineRule="exact"/>
              <w:ind w:left="109"/>
              <w:rPr>
                <w:sz w:val="21"/>
              </w:rPr>
            </w:pPr>
            <w:r>
              <w:rPr>
                <w:sz w:val="21"/>
              </w:rPr>
              <w:t>开展污水处理设施提标改造。</w:t>
            </w:r>
          </w:p>
        </w:tc>
        <w:tc>
          <w:tcPr>
            <w:tcW w:w="5676" w:type="dxa"/>
            <w:vMerge w:val="restart"/>
            <w:tcBorders>
              <w:top w:val="single" w:color="000000" w:sz="4" w:space="0"/>
              <w:bottom w:val="single" w:color="000000" w:sz="4" w:space="0"/>
            </w:tcBorders>
          </w:tcPr>
          <w:p>
            <w:pPr>
              <w:pStyle w:val="12"/>
              <w:spacing w:before="3"/>
              <w:rPr>
                <w:b/>
                <w:sz w:val="20"/>
              </w:rPr>
            </w:pPr>
          </w:p>
          <w:p>
            <w:pPr>
              <w:pStyle w:val="12"/>
              <w:spacing w:before="1"/>
              <w:ind w:left="109"/>
              <w:rPr>
                <w:sz w:val="21"/>
              </w:rPr>
            </w:pPr>
            <w:r>
              <w:rPr>
                <w:sz w:val="21"/>
              </w:rPr>
              <w:t>《贵州省城镇污水处理设施建设三年行动方案》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tcBorders>
          </w:tcPr>
          <w:p>
            <w:pPr>
              <w:pStyle w:val="12"/>
              <w:spacing w:line="224" w:lineRule="exact"/>
              <w:ind w:left="109"/>
              <w:rPr>
                <w:sz w:val="21"/>
              </w:rPr>
            </w:pPr>
            <w:r>
              <w:rPr>
                <w:rFonts w:ascii="Times New Roman" w:eastAsia="Times New Roman"/>
                <w:sz w:val="21"/>
              </w:rPr>
              <w:t>6.</w:t>
            </w:r>
            <w:r>
              <w:rPr>
                <w:spacing w:val="-6"/>
                <w:sz w:val="21"/>
              </w:rPr>
              <w:t xml:space="preserve">生活污水处理率设市城市达 </w:t>
            </w:r>
            <w:r>
              <w:rPr>
                <w:rFonts w:ascii="Times New Roman" w:eastAsia="Times New Roman"/>
                <w:sz w:val="21"/>
              </w:rPr>
              <w:t>95%(</w:t>
            </w:r>
            <w:r>
              <w:rPr>
                <w:spacing w:val="-4"/>
                <w:sz w:val="21"/>
              </w:rPr>
              <w:t>市级城市建成区基本实现全收集、全处理</w:t>
            </w:r>
            <w:r>
              <w:rPr>
                <w:rFonts w:ascii="Times New Roman" w:eastAsia="Times New Roman"/>
                <w:spacing w:val="-4"/>
                <w:sz w:val="21"/>
              </w:rPr>
              <w:t>)</w:t>
            </w:r>
            <w:r>
              <w:rPr>
                <w:spacing w:val="-13"/>
                <w:sz w:val="21"/>
              </w:rPr>
              <w:t xml:space="preserve">、县城达 </w:t>
            </w:r>
            <w:r>
              <w:rPr>
                <w:rFonts w:ascii="Times New Roman" w:eastAsia="Times New Roman"/>
                <w:sz w:val="21"/>
              </w:rPr>
              <w:t>85%</w:t>
            </w:r>
            <w:r>
              <w:rPr>
                <w:spacing w:val="-12"/>
                <w:sz w:val="21"/>
              </w:rPr>
              <w:t xml:space="preserve">、建制镇达 </w:t>
            </w:r>
            <w:r>
              <w:rPr>
                <w:rFonts w:ascii="Times New Roman" w:eastAsia="Times New Roman"/>
                <w:sz w:val="21"/>
              </w:rPr>
              <w:t>50%;</w:t>
            </w:r>
            <w:r>
              <w:rPr>
                <w:spacing w:val="-3"/>
                <w:sz w:val="21"/>
              </w:rPr>
              <w:t>污泥无害化处理处</w:t>
            </w:r>
          </w:p>
        </w:tc>
        <w:tc>
          <w:tcPr>
            <w:tcW w:w="5676" w:type="dxa"/>
            <w:vMerge w:val="continue"/>
            <w:tcBorders>
              <w:top w:val="nil"/>
              <w:bottom w:val="single" w:color="000000" w:sz="4" w:space="0"/>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1094"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761"/>
        <w:gridCol w:w="415"/>
        <w:gridCol w:w="1869"/>
        <w:gridCol w:w="11723"/>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tcPr>
          <w:p>
            <w:pPr>
              <w:pStyle w:val="12"/>
              <w:spacing w:before="49" w:line="252" w:lineRule="exact"/>
              <w:ind w:left="112"/>
              <w:rPr>
                <w:b/>
                <w:sz w:val="21"/>
              </w:rPr>
            </w:pPr>
            <w:r>
              <w:rPr>
                <w:b/>
                <w:sz w:val="21"/>
              </w:rPr>
              <w:t>分类</w:t>
            </w:r>
          </w:p>
        </w:tc>
        <w:tc>
          <w:tcPr>
            <w:tcW w:w="761" w:type="dxa"/>
          </w:tcPr>
          <w:p>
            <w:pPr>
              <w:pStyle w:val="12"/>
              <w:spacing w:before="49" w:line="252" w:lineRule="exact"/>
              <w:ind w:left="168"/>
              <w:rPr>
                <w:b/>
                <w:sz w:val="21"/>
              </w:rPr>
            </w:pPr>
            <w:r>
              <w:rPr>
                <w:b/>
                <w:sz w:val="21"/>
              </w:rPr>
              <w:t>属性</w:t>
            </w:r>
          </w:p>
        </w:tc>
        <w:tc>
          <w:tcPr>
            <w:tcW w:w="2284" w:type="dxa"/>
            <w:gridSpan w:val="2"/>
          </w:tcPr>
          <w:p>
            <w:pPr>
              <w:pStyle w:val="12"/>
              <w:spacing w:before="49" w:line="252" w:lineRule="exact"/>
              <w:ind w:left="911" w:right="905"/>
              <w:jc w:val="center"/>
              <w:rPr>
                <w:b/>
                <w:sz w:val="21"/>
              </w:rPr>
            </w:pPr>
            <w:r>
              <w:rPr>
                <w:b/>
                <w:sz w:val="21"/>
              </w:rPr>
              <w:t>管控</w:t>
            </w:r>
          </w:p>
        </w:tc>
        <w:tc>
          <w:tcPr>
            <w:tcW w:w="11723" w:type="dxa"/>
            <w:tcBorders>
              <w:bottom w:val="single" w:color="000000" w:sz="4" w:space="0"/>
            </w:tcBorders>
          </w:tcPr>
          <w:p>
            <w:pPr>
              <w:pStyle w:val="12"/>
              <w:spacing w:before="49" w:line="252" w:lineRule="exact"/>
              <w:ind w:left="5315" w:right="5308"/>
              <w:jc w:val="center"/>
              <w:rPr>
                <w:b/>
                <w:sz w:val="21"/>
              </w:rPr>
            </w:pPr>
            <w:r>
              <w:rPr>
                <w:b/>
                <w:sz w:val="21"/>
              </w:rPr>
              <w:t>管控和要求</w:t>
            </w:r>
          </w:p>
        </w:tc>
        <w:tc>
          <w:tcPr>
            <w:tcW w:w="5676" w:type="dxa"/>
          </w:tcPr>
          <w:p>
            <w:pPr>
              <w:pStyle w:val="12"/>
              <w:spacing w:before="49" w:line="252" w:lineRule="exact"/>
              <w:ind w:left="2188" w:right="2178"/>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650" w:type="dxa"/>
            <w:vMerge w:val="restart"/>
            <w:tcBorders>
              <w:bottom w:val="single" w:color="000000" w:sz="4" w:space="0"/>
            </w:tcBorders>
          </w:tcPr>
          <w:p>
            <w:pPr>
              <w:pStyle w:val="12"/>
              <w:rPr>
                <w:rFonts w:ascii="Times New Roman"/>
                <w:sz w:val="20"/>
              </w:rPr>
            </w:pPr>
          </w:p>
        </w:tc>
        <w:tc>
          <w:tcPr>
            <w:tcW w:w="761" w:type="dxa"/>
            <w:vMerge w:val="restart"/>
            <w:tcBorders>
              <w:bottom w:val="single" w:color="000000" w:sz="4" w:space="0"/>
            </w:tcBorders>
          </w:tcPr>
          <w:p>
            <w:pPr>
              <w:pStyle w:val="12"/>
              <w:rPr>
                <w:rFonts w:ascii="Times New Roman"/>
                <w:sz w:val="20"/>
              </w:rPr>
            </w:pPr>
          </w:p>
        </w:tc>
        <w:tc>
          <w:tcPr>
            <w:tcW w:w="415" w:type="dxa"/>
            <w:vMerge w:val="restart"/>
          </w:tcPr>
          <w:p>
            <w:pPr>
              <w:pStyle w:val="12"/>
              <w:rPr>
                <w:rFonts w:ascii="Times New Roman"/>
                <w:sz w:val="20"/>
              </w:rPr>
            </w:pPr>
          </w:p>
        </w:tc>
        <w:tc>
          <w:tcPr>
            <w:tcW w:w="1869" w:type="dxa"/>
          </w:tcPr>
          <w:p>
            <w:pPr>
              <w:pStyle w:val="12"/>
              <w:rPr>
                <w:rFonts w:ascii="Times New Roman"/>
                <w:sz w:val="16"/>
              </w:rPr>
            </w:pPr>
          </w:p>
        </w:tc>
        <w:tc>
          <w:tcPr>
            <w:tcW w:w="11723" w:type="dxa"/>
            <w:tcBorders>
              <w:top w:val="single" w:color="000000" w:sz="4" w:space="0"/>
            </w:tcBorders>
          </w:tcPr>
          <w:p>
            <w:pPr>
              <w:pStyle w:val="12"/>
              <w:spacing w:line="225" w:lineRule="exact"/>
              <w:ind w:left="109"/>
              <w:rPr>
                <w:sz w:val="21"/>
              </w:rPr>
            </w:pPr>
            <w:r>
              <w:rPr>
                <w:sz w:val="21"/>
              </w:rPr>
              <w:t xml:space="preserve">置率市级城市达 </w:t>
            </w:r>
            <w:r>
              <w:rPr>
                <w:rFonts w:ascii="Times New Roman" w:eastAsia="Times New Roman"/>
                <w:sz w:val="21"/>
              </w:rPr>
              <w:t>90%</w:t>
            </w:r>
            <w:r>
              <w:rPr>
                <w:sz w:val="21"/>
              </w:rPr>
              <w:t xml:space="preserve">、其他设市城市达 </w:t>
            </w:r>
            <w:r>
              <w:rPr>
                <w:rFonts w:ascii="Times New Roman" w:eastAsia="Times New Roman"/>
                <w:sz w:val="21"/>
              </w:rPr>
              <w:t>75%</w:t>
            </w:r>
            <w:r>
              <w:rPr>
                <w:sz w:val="21"/>
              </w:rPr>
              <w:t xml:space="preserve">，县城力争达 </w:t>
            </w:r>
            <w:r>
              <w:rPr>
                <w:rFonts w:ascii="Times New Roman" w:eastAsia="Times New Roman"/>
                <w:sz w:val="21"/>
              </w:rPr>
              <w:t>60%</w:t>
            </w:r>
            <w:r>
              <w:rPr>
                <w:sz w:val="21"/>
              </w:rPr>
              <w:t>。</w:t>
            </w:r>
          </w:p>
        </w:tc>
        <w:tc>
          <w:tcPr>
            <w:tcW w:w="5676" w:type="dxa"/>
            <w:tcBorders>
              <w:bottom w:val="single" w:color="000000" w:sz="4" w:space="0"/>
            </w:tcBorders>
          </w:tcPr>
          <w:p>
            <w:pPr>
              <w:pStyle w:val="12"/>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tcPr>
          <w:p>
            <w:pPr>
              <w:pStyle w:val="12"/>
              <w:spacing w:before="3"/>
              <w:rPr>
                <w:b/>
                <w:sz w:val="18"/>
              </w:rPr>
            </w:pPr>
          </w:p>
          <w:p>
            <w:pPr>
              <w:pStyle w:val="12"/>
              <w:ind w:left="199"/>
              <w:rPr>
                <w:sz w:val="21"/>
              </w:rPr>
            </w:pPr>
            <w:r>
              <w:rPr>
                <w:sz w:val="21"/>
              </w:rPr>
              <w:t>现有源提标改造</w:t>
            </w:r>
          </w:p>
        </w:tc>
        <w:tc>
          <w:tcPr>
            <w:tcW w:w="11723" w:type="dxa"/>
            <w:tcBorders>
              <w:bottom w:val="single" w:color="000000" w:sz="4" w:space="0"/>
            </w:tcBorders>
          </w:tcPr>
          <w:p>
            <w:pPr>
              <w:pStyle w:val="12"/>
              <w:spacing w:before="8" w:line="218" w:lineRule="auto"/>
              <w:ind w:left="109" w:right="94"/>
              <w:rPr>
                <w:sz w:val="21"/>
              </w:rPr>
            </w:pPr>
            <w:r>
              <w:rPr>
                <w:spacing w:val="-7"/>
                <w:sz w:val="21"/>
              </w:rPr>
              <w:t>各地污水处理厂应根据污水进水特点、排放和再生利用要求，科学选择污水处理提标改造工艺，并强化脱氮除磷能力，加强污</w:t>
            </w:r>
            <w:r>
              <w:rPr>
                <w:spacing w:val="-9"/>
                <w:sz w:val="21"/>
              </w:rPr>
              <w:t xml:space="preserve">水再生利用，出水水质应达到一级 </w:t>
            </w:r>
            <w:r>
              <w:rPr>
                <w:sz w:val="21"/>
              </w:rPr>
              <w:t>A</w:t>
            </w:r>
            <w:r>
              <w:rPr>
                <w:spacing w:val="-10"/>
                <w:sz w:val="21"/>
              </w:rPr>
              <w:t xml:space="preserve"> 排放标准及再生利用相应水质标准。有条件的地区，应结合人工湿地等措施，进一步提高</w:t>
            </w:r>
          </w:p>
          <w:p>
            <w:pPr>
              <w:pStyle w:val="12"/>
              <w:spacing w:line="221" w:lineRule="exact"/>
              <w:ind w:left="109"/>
              <w:rPr>
                <w:sz w:val="21"/>
              </w:rPr>
            </w:pPr>
            <w:r>
              <w:rPr>
                <w:sz w:val="21"/>
              </w:rPr>
              <w:t>出水水质，作为河道补水、景观用水等。</w:t>
            </w:r>
          </w:p>
        </w:tc>
        <w:tc>
          <w:tcPr>
            <w:tcW w:w="5676" w:type="dxa"/>
            <w:tcBorders>
              <w:top w:val="single" w:color="000000" w:sz="4" w:space="0"/>
              <w:bottom w:val="single" w:color="000000" w:sz="4" w:space="0"/>
            </w:tcBorders>
          </w:tcPr>
          <w:p>
            <w:pPr>
              <w:pStyle w:val="12"/>
              <w:spacing w:before="46" w:line="320" w:lineRule="atLeast"/>
              <w:ind w:left="109" w:right="93"/>
              <w:rPr>
                <w:sz w:val="21"/>
              </w:rPr>
            </w:pPr>
            <w:r>
              <w:rPr>
                <w:sz w:val="21"/>
              </w:rPr>
              <w:t>《贵州省“十三五”城镇污水处理及再生水利用设施建设规划》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restart"/>
          </w:tcPr>
          <w:p>
            <w:pPr>
              <w:pStyle w:val="12"/>
              <w:rPr>
                <w:b/>
                <w:sz w:val="20"/>
              </w:rPr>
            </w:pPr>
          </w:p>
          <w:p>
            <w:pPr>
              <w:pStyle w:val="12"/>
              <w:spacing w:before="10"/>
              <w:rPr>
                <w:b/>
                <w:sz w:val="15"/>
              </w:rPr>
            </w:pPr>
          </w:p>
          <w:p>
            <w:pPr>
              <w:pStyle w:val="12"/>
              <w:spacing w:before="1"/>
              <w:ind w:left="514"/>
              <w:rPr>
                <w:sz w:val="21"/>
              </w:rPr>
            </w:pPr>
            <w:r>
              <w:rPr>
                <w:sz w:val="21"/>
              </w:rPr>
              <w:t>环境风险防控</w:t>
            </w:r>
          </w:p>
        </w:tc>
        <w:tc>
          <w:tcPr>
            <w:tcW w:w="11723" w:type="dxa"/>
            <w:tcBorders>
              <w:top w:val="single" w:color="000000" w:sz="4" w:space="0"/>
              <w:bottom w:val="single" w:color="000000" w:sz="4" w:space="0"/>
            </w:tcBorders>
          </w:tcPr>
          <w:p>
            <w:pPr>
              <w:pStyle w:val="12"/>
              <w:spacing w:before="20" w:line="244" w:lineRule="exact"/>
              <w:ind w:left="109" w:right="94"/>
              <w:rPr>
                <w:sz w:val="21"/>
              </w:rPr>
            </w:pPr>
            <w:r>
              <w:rPr>
                <w:sz w:val="21"/>
              </w:rPr>
              <w:t>1.</w:t>
            </w:r>
            <w:r>
              <w:rPr>
                <w:spacing w:val="-7"/>
                <w:sz w:val="21"/>
              </w:rPr>
              <w:t>企业事业单位的实验室、检验室、化验室产生的废液应当按照有关危险废物的规定单独收集，进行安全处置，禁止直接排入</w:t>
            </w:r>
            <w:r>
              <w:rPr>
                <w:spacing w:val="-5"/>
                <w:sz w:val="21"/>
              </w:rPr>
              <w:t>城镇污水收集管网或者直接排入外环境。</w:t>
            </w:r>
          </w:p>
        </w:tc>
        <w:tc>
          <w:tcPr>
            <w:tcW w:w="5676" w:type="dxa"/>
            <w:tcBorders>
              <w:top w:val="single" w:color="000000" w:sz="4" w:space="0"/>
              <w:bottom w:val="single" w:color="000000" w:sz="4" w:space="0"/>
            </w:tcBorders>
          </w:tcPr>
          <w:p>
            <w:pPr>
              <w:pStyle w:val="12"/>
              <w:spacing w:before="152"/>
              <w:ind w:left="109"/>
              <w:rPr>
                <w:sz w:val="21"/>
              </w:rPr>
            </w:pPr>
            <w:r>
              <w:rPr>
                <w:sz w:val="21"/>
              </w:rPr>
              <w:t>《贵州省水污染防治条例》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25"/>
              <w:ind w:left="109"/>
              <w:rPr>
                <w:sz w:val="21"/>
              </w:rPr>
            </w:pPr>
            <w:r>
              <w:rPr>
                <w:sz w:val="21"/>
              </w:rPr>
              <w:t>2.县级以上人民政府有关部门应当采取控源截污、内源治理、生态修复等措施，整治城市黑臭水体，并定期公布治理情况。</w:t>
            </w:r>
          </w:p>
        </w:tc>
        <w:tc>
          <w:tcPr>
            <w:tcW w:w="5676" w:type="dxa"/>
            <w:tcBorders>
              <w:top w:val="single" w:color="000000" w:sz="4" w:space="0"/>
              <w:bottom w:val="single" w:color="000000" w:sz="4" w:space="0"/>
            </w:tcBorders>
          </w:tcPr>
          <w:p>
            <w:pPr>
              <w:pStyle w:val="12"/>
              <w:spacing w:before="49" w:line="252" w:lineRule="exact"/>
              <w:ind w:left="109"/>
              <w:rPr>
                <w:sz w:val="21"/>
              </w:rPr>
            </w:pPr>
            <w:r>
              <w:rPr>
                <w:sz w:val="21"/>
              </w:rPr>
              <w:t>《贵州省水污染防治条例》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tcBorders>
          </w:tcPr>
          <w:p>
            <w:pPr>
              <w:pStyle w:val="12"/>
              <w:spacing w:before="22"/>
              <w:ind w:left="109"/>
              <w:rPr>
                <w:sz w:val="21"/>
              </w:rPr>
            </w:pPr>
            <w:r>
              <w:rPr>
                <w:sz w:val="21"/>
              </w:rPr>
              <w:t>3.县级及以上城市建成区全面实现污水处理厂持证排污。</w:t>
            </w:r>
          </w:p>
        </w:tc>
        <w:tc>
          <w:tcPr>
            <w:tcW w:w="5676" w:type="dxa"/>
            <w:tcBorders>
              <w:top w:val="single" w:color="000000" w:sz="4" w:space="0"/>
              <w:bottom w:val="single" w:color="000000" w:sz="4" w:space="0"/>
            </w:tcBorders>
          </w:tcPr>
          <w:p>
            <w:pPr>
              <w:pStyle w:val="12"/>
              <w:spacing w:before="46" w:line="250" w:lineRule="exact"/>
              <w:ind w:left="109"/>
              <w:rPr>
                <w:sz w:val="21"/>
              </w:rPr>
            </w:pPr>
            <w:r>
              <w:rPr>
                <w:sz w:val="21"/>
              </w:rPr>
              <w:t>《城市黑臭水体治理攻坚战实施方案》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restart"/>
          </w:tcPr>
          <w:p>
            <w:pPr>
              <w:pStyle w:val="12"/>
              <w:rPr>
                <w:b/>
                <w:sz w:val="20"/>
              </w:rPr>
            </w:pPr>
          </w:p>
          <w:p>
            <w:pPr>
              <w:pStyle w:val="12"/>
              <w:rPr>
                <w:b/>
                <w:sz w:val="20"/>
              </w:rPr>
            </w:pPr>
          </w:p>
          <w:p>
            <w:pPr>
              <w:pStyle w:val="12"/>
              <w:spacing w:before="3"/>
              <w:rPr>
                <w:b/>
                <w:sz w:val="25"/>
              </w:rPr>
            </w:pPr>
          </w:p>
          <w:p>
            <w:pPr>
              <w:pStyle w:val="12"/>
              <w:ind w:left="302"/>
              <w:rPr>
                <w:sz w:val="21"/>
              </w:rPr>
            </w:pPr>
            <w:r>
              <w:rPr>
                <w:sz w:val="21"/>
              </w:rPr>
              <w:t>资源开发效率要求</w:t>
            </w:r>
          </w:p>
        </w:tc>
        <w:tc>
          <w:tcPr>
            <w:tcW w:w="11723" w:type="dxa"/>
            <w:tcBorders>
              <w:bottom w:val="single" w:color="000000" w:sz="4" w:space="0"/>
            </w:tcBorders>
          </w:tcPr>
          <w:p>
            <w:pPr>
              <w:pStyle w:val="12"/>
              <w:spacing w:before="80" w:line="220" w:lineRule="auto"/>
              <w:ind w:left="109" w:right="94"/>
              <w:rPr>
                <w:sz w:val="21"/>
              </w:rPr>
            </w:pPr>
            <w:r>
              <w:rPr>
                <w:sz w:val="21"/>
              </w:rPr>
              <w:t>1.</w:t>
            </w:r>
            <w:r>
              <w:rPr>
                <w:spacing w:val="-7"/>
                <w:sz w:val="21"/>
              </w:rPr>
              <w:t>从源头控制初期雨水径流污染，通过科学划分排水片区，合理布局雨水管道和调蓄设施，有效收集初期雨水。根据初期雨水</w:t>
            </w:r>
            <w:r>
              <w:rPr>
                <w:spacing w:val="-5"/>
                <w:sz w:val="21"/>
              </w:rPr>
              <w:t>的水质，可采用输送至城镇污水处理设施集中处理，或就地结合景观、绿地等进行自然生态处理并资源化利用。</w:t>
            </w:r>
          </w:p>
        </w:tc>
        <w:tc>
          <w:tcPr>
            <w:tcW w:w="5676" w:type="dxa"/>
            <w:tcBorders>
              <w:top w:val="single" w:color="000000" w:sz="4" w:space="0"/>
              <w:bottom w:val="single" w:color="000000" w:sz="4" w:space="0"/>
            </w:tcBorders>
          </w:tcPr>
          <w:p>
            <w:pPr>
              <w:pStyle w:val="12"/>
              <w:spacing w:line="320" w:lineRule="atLeast"/>
              <w:ind w:left="109" w:right="93"/>
              <w:rPr>
                <w:sz w:val="21"/>
              </w:rPr>
            </w:pPr>
            <w:r>
              <w:rPr>
                <w:sz w:val="21"/>
              </w:rPr>
              <w:t>《贵州省“十三五”城镇污水处理及再生水利用设施建设规划》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78" w:line="220" w:lineRule="auto"/>
              <w:ind w:left="109" w:right="94"/>
              <w:rPr>
                <w:sz w:val="21"/>
              </w:rPr>
            </w:pPr>
            <w:r>
              <w:rPr>
                <w:sz w:val="21"/>
              </w:rPr>
              <w:t>2.</w:t>
            </w:r>
            <w:r>
              <w:rPr>
                <w:spacing w:val="-8"/>
                <w:sz w:val="21"/>
              </w:rPr>
              <w:t>坚持污泥无害化处理处置原则，按照“绿色、循环、低碳”要求，结合各地经济社会发展水平，因地制宜采用成熟的污泥处</w:t>
            </w:r>
            <w:r>
              <w:rPr>
                <w:spacing w:val="-5"/>
                <w:sz w:val="21"/>
              </w:rPr>
              <w:t>理处置方案，鼓励采用高级厌氧消化和能源化、资源化利用等技术，回收污泥中的能源和资源</w:t>
            </w:r>
          </w:p>
        </w:tc>
        <w:tc>
          <w:tcPr>
            <w:tcW w:w="5676" w:type="dxa"/>
            <w:tcBorders>
              <w:top w:val="single" w:color="000000" w:sz="4" w:space="0"/>
              <w:bottom w:val="single" w:color="000000" w:sz="4" w:space="0"/>
            </w:tcBorders>
          </w:tcPr>
          <w:p>
            <w:pPr>
              <w:pStyle w:val="12"/>
              <w:spacing w:before="46"/>
              <w:ind w:left="109"/>
              <w:rPr>
                <w:sz w:val="21"/>
              </w:rPr>
            </w:pPr>
            <w:r>
              <w:rPr>
                <w:sz w:val="21"/>
              </w:rPr>
              <w:t>《贵州省“十三五”城镇污水处理及再生水利用设施建设规</w:t>
            </w:r>
          </w:p>
          <w:p>
            <w:pPr>
              <w:pStyle w:val="12"/>
              <w:spacing w:before="53" w:line="252" w:lineRule="exact"/>
              <w:ind w:left="109"/>
              <w:rPr>
                <w:sz w:val="21"/>
              </w:rPr>
            </w:pPr>
            <w:r>
              <w:rPr>
                <w:sz w:val="21"/>
              </w:rPr>
              <w:t>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Borders>
              <w:top w:val="single" w:color="000000" w:sz="4" w:space="0"/>
            </w:tcBorders>
          </w:tcPr>
          <w:p>
            <w:pPr>
              <w:pStyle w:val="12"/>
              <w:spacing w:before="46"/>
              <w:ind w:left="109"/>
              <w:rPr>
                <w:sz w:val="21"/>
              </w:rPr>
            </w:pPr>
            <w:r>
              <w:rPr>
                <w:sz w:val="21"/>
              </w:rPr>
              <w:t>3.</w:t>
            </w:r>
            <w:r>
              <w:rPr>
                <w:spacing w:val="-23"/>
                <w:sz w:val="21"/>
              </w:rPr>
              <w:t xml:space="preserve">到 </w:t>
            </w:r>
            <w:r>
              <w:rPr>
                <w:sz w:val="21"/>
              </w:rPr>
              <w:t>2020</w:t>
            </w:r>
            <w:r>
              <w:rPr>
                <w:spacing w:val="-12"/>
                <w:sz w:val="21"/>
              </w:rPr>
              <w:t xml:space="preserve"> 年，实现城市再生水利用率达到 </w:t>
            </w:r>
            <w:r>
              <w:rPr>
                <w:sz w:val="21"/>
              </w:rPr>
              <w:t>20</w:t>
            </w:r>
            <w:r>
              <w:rPr>
                <w:spacing w:val="-2"/>
                <w:sz w:val="21"/>
              </w:rPr>
              <w:t>%以上，</w:t>
            </w:r>
            <w:r>
              <w:rPr>
                <w:spacing w:val="-5"/>
                <w:sz w:val="21"/>
              </w:rPr>
              <w:t>2030</w:t>
            </w:r>
            <w:r>
              <w:rPr>
                <w:spacing w:val="-13"/>
                <w:sz w:val="21"/>
              </w:rPr>
              <w:t xml:space="preserve"> 年，实现城市再生水利用率达到 </w:t>
            </w:r>
            <w:r>
              <w:rPr>
                <w:sz w:val="21"/>
              </w:rPr>
              <w:t>40</w:t>
            </w:r>
            <w:r>
              <w:rPr>
                <w:spacing w:val="-8"/>
                <w:sz w:val="21"/>
              </w:rPr>
              <w:t>%以上；推进海绵城市建设，设市</w:t>
            </w:r>
          </w:p>
          <w:p>
            <w:pPr>
              <w:pStyle w:val="12"/>
              <w:spacing w:before="53" w:line="250" w:lineRule="exact"/>
              <w:ind w:left="109"/>
              <w:rPr>
                <w:sz w:val="21"/>
              </w:rPr>
            </w:pPr>
            <w:r>
              <w:rPr>
                <w:sz w:val="21"/>
              </w:rPr>
              <w:t>城市新建城区按照海绵城市要求开发建设。</w:t>
            </w:r>
          </w:p>
        </w:tc>
        <w:tc>
          <w:tcPr>
            <w:tcW w:w="5676" w:type="dxa"/>
            <w:tcBorders>
              <w:top w:val="single" w:color="000000" w:sz="4" w:space="0"/>
            </w:tcBorders>
          </w:tcPr>
          <w:p>
            <w:pPr>
              <w:pStyle w:val="12"/>
              <w:spacing w:before="2"/>
              <w:rPr>
                <w:b/>
                <w:sz w:val="16"/>
              </w:rPr>
            </w:pPr>
          </w:p>
          <w:p>
            <w:pPr>
              <w:pStyle w:val="12"/>
              <w:ind w:left="109" w:right="-15"/>
              <w:rPr>
                <w:sz w:val="21"/>
              </w:rPr>
            </w:pPr>
            <w:r>
              <w:rPr>
                <w:spacing w:val="-3"/>
                <w:sz w:val="21"/>
              </w:rPr>
              <w:t>《贵州省 "十三五" 环境保护规划</w:t>
            </w:r>
            <w:r>
              <w:rPr>
                <w:spacing w:val="-212"/>
                <w:sz w:val="21"/>
              </w:rPr>
              <w:t>》</w:t>
            </w:r>
            <w:r>
              <w:rPr>
                <w:spacing w:val="-3"/>
                <w:sz w:val="21"/>
              </w:rPr>
              <w:t>（</w:t>
            </w:r>
            <w:r>
              <w:rPr>
                <w:spacing w:val="-2"/>
                <w:sz w:val="21"/>
              </w:rPr>
              <w:t>黔环通 (</w:t>
            </w:r>
            <w:r>
              <w:rPr>
                <w:sz w:val="21"/>
              </w:rPr>
              <w:t>2017</w:t>
            </w:r>
            <w:r>
              <w:rPr>
                <w:spacing w:val="-27"/>
                <w:sz w:val="21"/>
              </w:rPr>
              <w:t xml:space="preserve">] </w:t>
            </w:r>
            <w:r>
              <w:rPr>
                <w:sz w:val="21"/>
              </w:rPr>
              <w:t>16</w:t>
            </w:r>
            <w:r>
              <w:rPr>
                <w:spacing w:val="-25"/>
                <w:sz w:val="21"/>
              </w:rPr>
              <w:t xml:space="preserve"> 号</w:t>
            </w:r>
            <w:r>
              <w:rPr>
                <w:spacing w:val="-108"/>
                <w:sz w:val="21"/>
              </w:rPr>
              <w:t>）</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5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18"/>
              </w:rPr>
            </w:pPr>
          </w:p>
          <w:p>
            <w:pPr>
              <w:pStyle w:val="12"/>
              <w:spacing w:line="218" w:lineRule="auto"/>
              <w:ind w:left="107" w:right="83"/>
              <w:jc w:val="both"/>
              <w:rPr>
                <w:sz w:val="21"/>
              </w:rPr>
            </w:pPr>
            <w:r>
              <w:rPr>
                <w:sz w:val="21"/>
              </w:rPr>
              <w:t>重点管控区</w:t>
            </w:r>
          </w:p>
        </w:tc>
        <w:tc>
          <w:tcPr>
            <w:tcW w:w="761"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5"/>
              <w:rPr>
                <w:b/>
                <w:sz w:val="27"/>
              </w:rPr>
            </w:pPr>
          </w:p>
          <w:p>
            <w:pPr>
              <w:pStyle w:val="12"/>
              <w:spacing w:line="220" w:lineRule="auto"/>
              <w:ind w:left="170" w:right="160"/>
              <w:rPr>
                <w:sz w:val="21"/>
              </w:rPr>
            </w:pPr>
            <w:r>
              <w:rPr>
                <w:sz w:val="21"/>
              </w:rPr>
              <w:t>农业污染</w:t>
            </w:r>
          </w:p>
        </w:tc>
        <w:tc>
          <w:tcPr>
            <w:tcW w:w="415"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5" w:line="285" w:lineRule="auto"/>
              <w:ind w:left="108" w:right="88"/>
              <w:jc w:val="both"/>
              <w:rPr>
                <w:sz w:val="21"/>
              </w:rPr>
            </w:pPr>
            <w:r>
              <w:rPr>
                <w:sz w:val="21"/>
              </w:rPr>
              <w:t>空间布局约束</w:t>
            </w:r>
          </w:p>
        </w:tc>
        <w:tc>
          <w:tcPr>
            <w:tcW w:w="1869" w:type="dxa"/>
            <w:vMerge w:val="restart"/>
          </w:tcPr>
          <w:p>
            <w:pPr>
              <w:pStyle w:val="12"/>
              <w:rPr>
                <w:b/>
                <w:sz w:val="20"/>
              </w:rPr>
            </w:pPr>
          </w:p>
          <w:p>
            <w:pPr>
              <w:pStyle w:val="12"/>
              <w:rPr>
                <w:b/>
                <w:sz w:val="20"/>
              </w:rPr>
            </w:pPr>
          </w:p>
          <w:p>
            <w:pPr>
              <w:pStyle w:val="12"/>
              <w:spacing w:before="155" w:line="285" w:lineRule="auto"/>
              <w:ind w:left="514" w:right="188" w:hanging="315"/>
              <w:rPr>
                <w:sz w:val="21"/>
              </w:rPr>
            </w:pPr>
            <w:r>
              <w:rPr>
                <w:sz w:val="21"/>
              </w:rPr>
              <w:t>禁止开发建设活动的要求</w:t>
            </w:r>
          </w:p>
        </w:tc>
        <w:tc>
          <w:tcPr>
            <w:tcW w:w="11723" w:type="dxa"/>
            <w:tcBorders>
              <w:bottom w:val="single" w:color="000000" w:sz="4" w:space="0"/>
            </w:tcBorders>
          </w:tcPr>
          <w:p>
            <w:pPr>
              <w:pStyle w:val="12"/>
              <w:spacing w:before="171"/>
              <w:ind w:left="109"/>
              <w:rPr>
                <w:sz w:val="21"/>
              </w:rPr>
            </w:pPr>
            <w:r>
              <w:rPr>
                <w:sz w:val="21"/>
              </w:rPr>
              <w:t>1.畜禽禁养区内，禁止建设畜禽养殖场、养殖小区。</w:t>
            </w:r>
          </w:p>
        </w:tc>
        <w:tc>
          <w:tcPr>
            <w:tcW w:w="5676" w:type="dxa"/>
            <w:tcBorders>
              <w:bottom w:val="single" w:color="000000" w:sz="4" w:space="0"/>
            </w:tcBorders>
          </w:tcPr>
          <w:p>
            <w:pPr>
              <w:pStyle w:val="12"/>
              <w:spacing w:before="171"/>
              <w:ind w:left="109"/>
              <w:rPr>
                <w:sz w:val="21"/>
              </w:rPr>
            </w:pPr>
            <w:r>
              <w:rPr>
                <w:sz w:val="21"/>
              </w:rPr>
              <w:t>《中华人民共和国畜禽规模养殖污染防治条例》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37" w:line="262" w:lineRule="exact"/>
              <w:ind w:left="109"/>
              <w:rPr>
                <w:sz w:val="21"/>
              </w:rPr>
            </w:pPr>
            <w:r>
              <w:rPr>
                <w:rFonts w:ascii="Times New Roman" w:eastAsia="Times New Roman"/>
                <w:sz w:val="21"/>
              </w:rPr>
              <w:t>2.</w:t>
            </w:r>
            <w:r>
              <w:rPr>
                <w:sz w:val="21"/>
              </w:rPr>
              <w:t>禁止使用农药及其他有毒物毒杀、捕捞水生生物。</w:t>
            </w:r>
          </w:p>
        </w:tc>
        <w:tc>
          <w:tcPr>
            <w:tcW w:w="5676" w:type="dxa"/>
            <w:tcBorders>
              <w:top w:val="single" w:color="000000" w:sz="4" w:space="0"/>
              <w:bottom w:val="single" w:color="000000" w:sz="4" w:space="0"/>
            </w:tcBorders>
          </w:tcPr>
          <w:p>
            <w:pPr>
              <w:pStyle w:val="12"/>
              <w:spacing w:before="46" w:line="252" w:lineRule="exact"/>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98"/>
              <w:ind w:left="109"/>
              <w:rPr>
                <w:sz w:val="21"/>
              </w:rPr>
            </w:pPr>
            <w:r>
              <w:rPr>
                <w:rFonts w:ascii="Times New Roman" w:eastAsia="Times New Roman"/>
                <w:sz w:val="21"/>
              </w:rPr>
              <w:t>3.</w:t>
            </w:r>
            <w:r>
              <w:rPr>
                <w:sz w:val="21"/>
              </w:rPr>
              <w:t>科学划分禁养区、控养区和可养区，优化养殖场布局，严格控制畜禽养殖规模。</w:t>
            </w:r>
          </w:p>
        </w:tc>
        <w:tc>
          <w:tcPr>
            <w:tcW w:w="5676" w:type="dxa"/>
            <w:tcBorders>
              <w:top w:val="single" w:color="000000" w:sz="4" w:space="0"/>
            </w:tcBorders>
          </w:tcPr>
          <w:p>
            <w:pPr>
              <w:pStyle w:val="12"/>
              <w:spacing w:before="3" w:line="320" w:lineRule="exact"/>
              <w:ind w:left="109" w:right="93"/>
              <w:rPr>
                <w:sz w:val="21"/>
              </w:rPr>
            </w:pPr>
            <w:r>
              <w:rPr>
                <w:sz w:val="21"/>
              </w:rPr>
              <w:t>《关于在畜禽养殖废弃物资源化利用过程中加强环境监管的通知》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34" w:line="264" w:lineRule="exact"/>
              <w:ind w:left="109"/>
              <w:rPr>
                <w:sz w:val="21"/>
              </w:rPr>
            </w:pPr>
            <w:r>
              <w:rPr>
                <w:rFonts w:ascii="Times New Roman" w:eastAsia="Times New Roman"/>
                <w:sz w:val="21"/>
              </w:rPr>
              <w:t>4.</w:t>
            </w:r>
            <w:r>
              <w:rPr>
                <w:sz w:val="21"/>
              </w:rPr>
              <w:t>在饮用水水源地保护区范围内，严禁从事网箱养殖、围栏养殖、投饵养殖、施肥养殖。</w:t>
            </w:r>
          </w:p>
        </w:tc>
        <w:tc>
          <w:tcPr>
            <w:tcW w:w="5676" w:type="dxa"/>
            <w:tcBorders>
              <w:bottom w:val="single" w:color="000000" w:sz="4" w:space="0"/>
            </w:tcBorders>
          </w:tcPr>
          <w:p>
            <w:pPr>
              <w:pStyle w:val="12"/>
              <w:spacing w:before="44" w:line="255" w:lineRule="exact"/>
              <w:ind w:left="109"/>
              <w:rPr>
                <w:sz w:val="21"/>
              </w:rPr>
            </w:pPr>
            <w:r>
              <w:rPr>
                <w:spacing w:val="-10"/>
                <w:sz w:val="21"/>
              </w:rPr>
              <w:t>《贵州省饮用水水源环境保护办法》</w:t>
            </w:r>
            <w:r>
              <w:rPr>
                <w:sz w:val="21"/>
              </w:rPr>
              <w:t>（</w:t>
            </w:r>
            <w:r>
              <w:rPr>
                <w:spacing w:val="-2"/>
                <w:sz w:val="21"/>
              </w:rPr>
              <w:t>黔府发[</w:t>
            </w:r>
            <w:r>
              <w:rPr>
                <w:sz w:val="21"/>
              </w:rPr>
              <w:t>2018]29</w:t>
            </w:r>
            <w:r>
              <w:rPr>
                <w:spacing w:val="-26"/>
                <w:sz w:val="21"/>
              </w:rPr>
              <w:t xml:space="preserve"> 号</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restart"/>
          </w:tcPr>
          <w:p>
            <w:pPr>
              <w:pStyle w:val="12"/>
              <w:rPr>
                <w:b/>
                <w:sz w:val="20"/>
              </w:rPr>
            </w:pPr>
          </w:p>
          <w:p>
            <w:pPr>
              <w:pStyle w:val="12"/>
              <w:rPr>
                <w:b/>
                <w:sz w:val="25"/>
              </w:rPr>
            </w:pPr>
          </w:p>
          <w:p>
            <w:pPr>
              <w:pStyle w:val="12"/>
              <w:spacing w:before="1" w:line="285" w:lineRule="auto"/>
              <w:ind w:left="514" w:right="188" w:hanging="315"/>
              <w:rPr>
                <w:sz w:val="21"/>
              </w:rPr>
            </w:pPr>
            <w:r>
              <w:rPr>
                <w:sz w:val="21"/>
              </w:rPr>
              <w:t>限制开发建设活动的要求</w:t>
            </w:r>
          </w:p>
        </w:tc>
        <w:tc>
          <w:tcPr>
            <w:tcW w:w="11723" w:type="dxa"/>
            <w:tcBorders>
              <w:top w:val="single" w:color="000000" w:sz="4" w:space="0"/>
              <w:bottom w:val="single" w:color="000000" w:sz="4" w:space="0"/>
            </w:tcBorders>
          </w:tcPr>
          <w:p>
            <w:pPr>
              <w:pStyle w:val="12"/>
              <w:spacing w:before="9" w:line="280" w:lineRule="atLeast"/>
              <w:ind w:left="109" w:right="99"/>
              <w:rPr>
                <w:sz w:val="21"/>
              </w:rPr>
            </w:pPr>
            <w:r>
              <w:rPr>
                <w:rFonts w:ascii="Times New Roman" w:eastAsia="Times New Roman"/>
                <w:sz w:val="21"/>
              </w:rPr>
              <w:t>1.</w:t>
            </w:r>
            <w:r>
              <w:rPr>
                <w:sz w:val="21"/>
              </w:rPr>
              <w:t>畜禽养殖限养区实行畜禽养殖存栏总量控制，畜禽养殖存栏总量超过畜禽养殖存栏控制总量时，该区域内不得再新建，扩建规模化畜禽养殖场</w:t>
            </w:r>
            <w:r>
              <w:rPr>
                <w:rFonts w:ascii="Times New Roman" w:eastAsia="Times New Roman"/>
                <w:sz w:val="21"/>
              </w:rPr>
              <w:t>(</w:t>
            </w:r>
            <w:r>
              <w:rPr>
                <w:sz w:val="21"/>
              </w:rPr>
              <w:t>小区</w:t>
            </w:r>
            <w:r>
              <w:rPr>
                <w:rFonts w:ascii="Times New Roman" w:eastAsia="Times New Roman"/>
                <w:sz w:val="21"/>
              </w:rPr>
              <w:t>)</w:t>
            </w:r>
            <w:r>
              <w:rPr>
                <w:sz w:val="21"/>
              </w:rPr>
              <w:t>和养殖专业户。</w:t>
            </w:r>
          </w:p>
        </w:tc>
        <w:tc>
          <w:tcPr>
            <w:tcW w:w="5676" w:type="dxa"/>
            <w:tcBorders>
              <w:top w:val="single" w:color="000000" w:sz="4" w:space="0"/>
            </w:tcBorders>
          </w:tcPr>
          <w:p>
            <w:pPr>
              <w:pStyle w:val="12"/>
              <w:spacing w:before="9" w:line="280" w:lineRule="atLeast"/>
              <w:ind w:left="109" w:right="93"/>
              <w:rPr>
                <w:sz w:val="21"/>
              </w:rPr>
            </w:pPr>
            <w:r>
              <w:rPr>
                <w:sz w:val="21"/>
              </w:rPr>
              <w:t>《关于在畜禽养殖废弃物资源化利用过程中加强环境监管的通知》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25" w:line="250" w:lineRule="exact"/>
              <w:ind w:left="109"/>
              <w:rPr>
                <w:sz w:val="21"/>
              </w:rPr>
            </w:pPr>
            <w:r>
              <w:rPr>
                <w:rFonts w:ascii="Times New Roman" w:eastAsia="Times New Roman"/>
                <w:sz w:val="21"/>
              </w:rPr>
              <w:t>2.</w:t>
            </w:r>
            <w:r>
              <w:rPr>
                <w:sz w:val="21"/>
              </w:rPr>
              <w:t>新建及现有规模化畜禽养殖场（小区）卫生防护距离需满足</w:t>
            </w:r>
            <w:r>
              <w:rPr>
                <w:rFonts w:ascii="Times New Roman" w:eastAsia="Times New Roman"/>
                <w:sz w:val="21"/>
              </w:rPr>
              <w:t xml:space="preserve">GB 18055-2000 </w:t>
            </w:r>
            <w:r>
              <w:rPr>
                <w:sz w:val="21"/>
              </w:rPr>
              <w:t>《村镇规划卫生标准》。</w:t>
            </w:r>
          </w:p>
        </w:tc>
        <w:tc>
          <w:tcPr>
            <w:tcW w:w="5676" w:type="dxa"/>
          </w:tcPr>
          <w:p>
            <w:pPr>
              <w:pStyle w:val="12"/>
              <w:spacing w:before="25" w:line="250" w:lineRule="exact"/>
              <w:ind w:left="109"/>
              <w:rPr>
                <w:sz w:val="21"/>
              </w:rPr>
            </w:pPr>
            <w:r>
              <w:rPr>
                <w:sz w:val="21"/>
              </w:rPr>
              <w:t>《村镇规划卫生标准》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142" w:line="254" w:lineRule="auto"/>
              <w:ind w:left="109" w:right="99"/>
              <w:rPr>
                <w:sz w:val="21"/>
              </w:rPr>
            </w:pPr>
            <w:r>
              <w:rPr>
                <w:rFonts w:ascii="Times New Roman" w:eastAsia="Times New Roman"/>
                <w:sz w:val="21"/>
              </w:rPr>
              <w:t>3.</w:t>
            </w:r>
            <w:r>
              <w:rPr>
                <w:sz w:val="21"/>
              </w:rPr>
              <w:t>现有及新建规模化畜禽畜禽养殖场（小区）养殖规模需根据农业部办公厅关于印发《畜禽粪污土地承载力测算技术指南》计算的土地资源承载力确定</w:t>
            </w:r>
          </w:p>
        </w:tc>
        <w:tc>
          <w:tcPr>
            <w:tcW w:w="5676" w:type="dxa"/>
            <w:tcBorders>
              <w:bottom w:val="single" w:color="000000" w:sz="4" w:space="0"/>
            </w:tcBorders>
          </w:tcPr>
          <w:p>
            <w:pPr>
              <w:pStyle w:val="12"/>
              <w:spacing w:before="2"/>
              <w:rPr>
                <w:b/>
              </w:rPr>
            </w:pPr>
          </w:p>
          <w:p>
            <w:pPr>
              <w:pStyle w:val="12"/>
              <w:ind w:left="109"/>
              <w:rPr>
                <w:sz w:val="21"/>
              </w:rPr>
            </w:pPr>
            <w:r>
              <w:rPr>
                <w:sz w:val="21"/>
              </w:rPr>
              <w:t>《畜禽粪污土地承载力测算技术指南》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tcPr>
          <w:p>
            <w:pPr>
              <w:pStyle w:val="12"/>
              <w:spacing w:before="46"/>
              <w:ind w:left="108"/>
              <w:rPr>
                <w:sz w:val="21"/>
              </w:rPr>
            </w:pPr>
            <w:r>
              <w:rPr>
                <w:sz w:val="21"/>
              </w:rPr>
              <w:t>允许开发建设活</w:t>
            </w:r>
          </w:p>
          <w:p>
            <w:pPr>
              <w:pStyle w:val="12"/>
              <w:spacing w:before="53" w:line="250" w:lineRule="exact"/>
              <w:ind w:left="108"/>
              <w:rPr>
                <w:sz w:val="21"/>
              </w:rPr>
            </w:pPr>
            <w:r>
              <w:rPr>
                <w:sz w:val="21"/>
              </w:rPr>
              <w:t>动的特殊要求</w:t>
            </w:r>
          </w:p>
        </w:tc>
        <w:tc>
          <w:tcPr>
            <w:tcW w:w="11723" w:type="dxa"/>
            <w:tcBorders>
              <w:top w:val="single" w:color="000000" w:sz="4" w:space="0"/>
            </w:tcBorders>
          </w:tcPr>
          <w:p>
            <w:pPr>
              <w:pStyle w:val="12"/>
              <w:spacing w:before="43" w:line="280" w:lineRule="atLeast"/>
              <w:ind w:left="109" w:right="1726"/>
              <w:rPr>
                <w:sz w:val="21"/>
              </w:rPr>
            </w:pPr>
            <w:r>
              <w:rPr>
                <w:sz w:val="21"/>
              </w:rPr>
              <w:t>在毗邻江河、湖泊、水库的农田，所在地乡镇人民政府应当引导发展绿色，有机农业，防止农业面源污染。在其他水体范围内，鼓励采用生态养殖的方式进行水产养殖作业，以减少对水体的污染和生态的破坏。</w:t>
            </w:r>
          </w:p>
        </w:tc>
        <w:tc>
          <w:tcPr>
            <w:tcW w:w="5676" w:type="dxa"/>
            <w:tcBorders>
              <w:top w:val="single" w:color="000000" w:sz="4" w:space="0"/>
              <w:bottom w:val="single" w:color="000000" w:sz="4" w:space="0"/>
            </w:tcBorders>
          </w:tcPr>
          <w:p>
            <w:pPr>
              <w:pStyle w:val="12"/>
              <w:spacing w:before="198"/>
              <w:ind w:left="109"/>
              <w:rPr>
                <w:sz w:val="21"/>
              </w:rPr>
            </w:pPr>
            <w:r>
              <w:rPr>
                <w:sz w:val="21"/>
              </w:rPr>
              <w:t>《“十三五”节能减排综合工作方案》（国发</w:t>
            </w:r>
            <w:r>
              <w:rPr>
                <w:rFonts w:ascii="Times New Roman" w:hAnsi="Times New Roman" w:eastAsia="Times New Roman"/>
                <w:sz w:val="21"/>
              </w:rPr>
              <w:t xml:space="preserve">[2016]74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tcPr>
          <w:p>
            <w:pPr>
              <w:pStyle w:val="12"/>
              <w:spacing w:before="49" w:line="285" w:lineRule="auto"/>
              <w:ind w:left="108" w:right="279"/>
              <w:rPr>
                <w:sz w:val="21"/>
              </w:rPr>
            </w:pPr>
            <w:r>
              <w:rPr>
                <w:sz w:val="21"/>
              </w:rPr>
              <w:t>不符合空间布局要求活动的退出</w:t>
            </w:r>
          </w:p>
          <w:p>
            <w:pPr>
              <w:pStyle w:val="12"/>
              <w:spacing w:line="252" w:lineRule="exact"/>
              <w:ind w:left="108"/>
              <w:rPr>
                <w:sz w:val="21"/>
              </w:rPr>
            </w:pPr>
            <w:r>
              <w:rPr>
                <w:sz w:val="21"/>
              </w:rPr>
              <w:t>要求</w:t>
            </w:r>
          </w:p>
        </w:tc>
        <w:tc>
          <w:tcPr>
            <w:tcW w:w="11723" w:type="dxa"/>
          </w:tcPr>
          <w:p>
            <w:pPr>
              <w:pStyle w:val="12"/>
              <w:spacing w:before="12"/>
              <w:rPr>
                <w:b/>
                <w:sz w:val="16"/>
              </w:rPr>
            </w:pPr>
          </w:p>
          <w:p>
            <w:pPr>
              <w:pStyle w:val="12"/>
              <w:spacing w:line="254" w:lineRule="auto"/>
              <w:ind w:left="109" w:right="-15"/>
              <w:rPr>
                <w:sz w:val="21"/>
              </w:rPr>
            </w:pPr>
            <w:r>
              <w:rPr>
                <w:spacing w:val="-8"/>
                <w:sz w:val="21"/>
              </w:rPr>
              <w:t>对限养区，适养区内，污染严重的畜禽养殖场，养殖小区和畜禽养殖密集区域，区县人民政府应当组织编制综合整治方案，采</w:t>
            </w:r>
            <w:r>
              <w:rPr>
                <w:spacing w:val="-14"/>
                <w:sz w:val="21"/>
              </w:rPr>
              <w:t>取科学饲养，清洁生产，建设完善污染治理和综合利用设施，有计划搬迁，关闭等措施，减少畜禽养殖废弃物产生量和排放量。</w:t>
            </w:r>
          </w:p>
        </w:tc>
        <w:tc>
          <w:tcPr>
            <w:tcW w:w="5676" w:type="dxa"/>
            <w:tcBorders>
              <w:top w:val="single" w:color="000000" w:sz="4" w:space="0"/>
            </w:tcBorders>
          </w:tcPr>
          <w:p>
            <w:pPr>
              <w:pStyle w:val="12"/>
              <w:spacing w:before="12"/>
              <w:rPr>
                <w:b/>
                <w:sz w:val="27"/>
              </w:rPr>
            </w:pPr>
          </w:p>
          <w:p>
            <w:pPr>
              <w:pStyle w:val="12"/>
              <w:ind w:left="109"/>
              <w:rPr>
                <w:sz w:val="21"/>
              </w:rPr>
            </w:pPr>
            <w:r>
              <w:rPr>
                <w:rFonts w:ascii="Times New Roman" w:eastAsia="Times New Roman"/>
                <w:sz w:val="21"/>
              </w:rPr>
              <w:t>&lt;</w:t>
            </w:r>
            <w:r>
              <w:rPr>
                <w:sz w:val="21"/>
              </w:rPr>
              <w:t xml:space="preserve">畜禽规模养殖污染防治条例》国务院令 </w:t>
            </w:r>
            <w:r>
              <w:rPr>
                <w:rFonts w:ascii="Times New Roman" w:eastAsia="Times New Roman"/>
                <w:sz w:val="21"/>
              </w:rPr>
              <w:t xml:space="preserve">643 </w:t>
            </w:r>
            <w:r>
              <w:rPr>
                <w:sz w:val="21"/>
              </w:rPr>
              <w:t>号（</w:t>
            </w:r>
            <w:r>
              <w:rPr>
                <w:rFonts w:ascii="Times New Roman" w:eastAsia="Times New Roman"/>
                <w:sz w:val="21"/>
              </w:rPr>
              <w:t>2013</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19"/>
              </w:rPr>
            </w:pPr>
          </w:p>
          <w:p>
            <w:pPr>
              <w:pStyle w:val="12"/>
              <w:spacing w:line="285" w:lineRule="auto"/>
              <w:ind w:left="108" w:right="88"/>
              <w:jc w:val="both"/>
              <w:rPr>
                <w:sz w:val="21"/>
              </w:rPr>
            </w:pPr>
            <w:r>
              <w:rPr>
                <w:sz w:val="21"/>
              </w:rPr>
              <w:t>污染物排放管控</w:t>
            </w:r>
          </w:p>
        </w:tc>
        <w:tc>
          <w:tcPr>
            <w:tcW w:w="1869"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7"/>
              <w:rPr>
                <w:b/>
                <w:sz w:val="21"/>
              </w:rPr>
            </w:pPr>
          </w:p>
          <w:p>
            <w:pPr>
              <w:pStyle w:val="12"/>
              <w:spacing w:line="285" w:lineRule="auto"/>
              <w:ind w:left="108" w:right="279"/>
              <w:rPr>
                <w:sz w:val="21"/>
              </w:rPr>
            </w:pPr>
            <w:r>
              <w:rPr>
                <w:sz w:val="21"/>
              </w:rPr>
              <w:t>水污染控制措施要求</w:t>
            </w:r>
          </w:p>
        </w:tc>
        <w:tc>
          <w:tcPr>
            <w:tcW w:w="11723" w:type="dxa"/>
            <w:tcBorders>
              <w:bottom w:val="single" w:color="000000" w:sz="4" w:space="0"/>
            </w:tcBorders>
          </w:tcPr>
          <w:p>
            <w:pPr>
              <w:pStyle w:val="12"/>
              <w:spacing w:before="20" w:line="256" w:lineRule="auto"/>
              <w:ind w:left="109" w:right="-15"/>
              <w:rPr>
                <w:sz w:val="21"/>
              </w:rPr>
            </w:pPr>
            <w:r>
              <w:rPr>
                <w:rFonts w:ascii="Times New Roman" w:eastAsia="Times New Roman"/>
                <w:sz w:val="21"/>
              </w:rPr>
              <w:t>1.</w:t>
            </w:r>
            <w:r>
              <w:rPr>
                <w:spacing w:val="-10"/>
                <w:sz w:val="21"/>
              </w:rPr>
              <w:t>农产品主产区，以保护和恢复地力为主要目标，加强水污柒的统筹防控，提高有色金属矿采选治炼，石油开采及加工、化工、</w:t>
            </w:r>
            <w:r>
              <w:rPr>
                <w:spacing w:val="-8"/>
                <w:sz w:val="21"/>
              </w:rPr>
              <w:t>焦化、电镀、制革等行业环境淮入要求，避免重金属、有机污染物与面源污染叠加，加剧水质改善难度，水库、灌溉、排涝等</w:t>
            </w:r>
            <w:r>
              <w:rPr>
                <w:spacing w:val="-9"/>
                <w:sz w:val="21"/>
              </w:rPr>
              <w:t>水利建设应发挥水资源的多种功能，协调好生活，生产和生态用水需求，降低对水生态和水环境的影响，不得进行自然生态系</w:t>
            </w:r>
            <w:r>
              <w:rPr>
                <w:spacing w:val="-8"/>
                <w:sz w:val="21"/>
              </w:rPr>
              <w:t>统的开荒以及侵占水面，湿地；林地，草地，控制化肥施用量，严格控制江河，湖洎，水库等水域新增人工养殖，防范水励富</w:t>
            </w:r>
          </w:p>
          <w:p>
            <w:pPr>
              <w:pStyle w:val="12"/>
              <w:spacing w:line="239" w:lineRule="exact"/>
              <w:ind w:left="109"/>
              <w:rPr>
                <w:sz w:val="21"/>
              </w:rPr>
            </w:pPr>
            <w:r>
              <w:rPr>
                <w:sz w:val="21"/>
              </w:rPr>
              <w:t>营养化。</w:t>
            </w:r>
          </w:p>
        </w:tc>
        <w:tc>
          <w:tcPr>
            <w:tcW w:w="5676" w:type="dxa"/>
            <w:tcBorders>
              <w:bottom w:val="single" w:color="000000" w:sz="4" w:space="0"/>
            </w:tcBorders>
          </w:tcPr>
          <w:p>
            <w:pPr>
              <w:pStyle w:val="12"/>
              <w:rPr>
                <w:b/>
                <w:sz w:val="20"/>
              </w:rPr>
            </w:pPr>
          </w:p>
          <w:p>
            <w:pPr>
              <w:pStyle w:val="12"/>
              <w:spacing w:before="2"/>
              <w:rPr>
                <w:b/>
                <w:sz w:val="15"/>
              </w:rPr>
            </w:pPr>
          </w:p>
          <w:p>
            <w:pPr>
              <w:pStyle w:val="12"/>
              <w:spacing w:line="254" w:lineRule="auto"/>
              <w:ind w:left="109" w:right="93"/>
              <w:rPr>
                <w:sz w:val="21"/>
              </w:rPr>
            </w:pPr>
            <w:r>
              <w:rPr>
                <w:sz w:val="21"/>
              </w:rPr>
              <w:t>《关于在畜禽养殖废弃物资源化利用过程中加强环境监管的通知》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20" w:line="254" w:lineRule="auto"/>
              <w:ind w:left="109" w:right="94"/>
              <w:jc w:val="both"/>
              <w:rPr>
                <w:sz w:val="21"/>
              </w:rPr>
            </w:pPr>
            <w:r>
              <w:rPr>
                <w:rFonts w:ascii="Times New Roman" w:eastAsia="Times New Roman"/>
                <w:sz w:val="21"/>
              </w:rPr>
              <w:t>2.</w:t>
            </w:r>
            <w:r>
              <w:rPr>
                <w:spacing w:val="-3"/>
                <w:sz w:val="21"/>
              </w:rPr>
              <w:t>在全省减少需水需肥量大的籽粒玉米面积。在黔西北和黔西南石漠化地区发展耗水少、需肥需药量低、环境效益突出的马铃薯、牧草、茶叶、中药材和木本油料等</w:t>
            </w:r>
            <w:r>
              <w:rPr>
                <w:rFonts w:ascii="Times New Roman" w:eastAsia="Times New Roman"/>
                <w:sz w:val="21"/>
              </w:rPr>
              <w:t>;</w:t>
            </w:r>
            <w:r>
              <w:rPr>
                <w:spacing w:val="-3"/>
                <w:sz w:val="21"/>
              </w:rPr>
              <w:t>在黔南推广水旱轮作，</w:t>
            </w:r>
            <w:r>
              <w:rPr>
                <w:rFonts w:ascii="Times New Roman" w:eastAsia="Times New Roman"/>
                <w:sz w:val="21"/>
              </w:rPr>
              <w:t xml:space="preserve">2020 </w:t>
            </w:r>
            <w:r>
              <w:rPr>
                <w:spacing w:val="-5"/>
                <w:sz w:val="21"/>
              </w:rPr>
              <w:t xml:space="preserve">年全省调减籽料玉米 </w:t>
            </w:r>
            <w:r>
              <w:rPr>
                <w:rFonts w:ascii="Times New Roman" w:eastAsia="Times New Roman"/>
                <w:sz w:val="21"/>
              </w:rPr>
              <w:t xml:space="preserve">200 </w:t>
            </w:r>
            <w:r>
              <w:rPr>
                <w:spacing w:val="-3"/>
                <w:sz w:val="21"/>
              </w:rPr>
              <w:t>万亩以上，新增饲料玉米和牧草</w:t>
            </w:r>
            <w:r>
              <w:rPr>
                <w:rFonts w:ascii="Times New Roman" w:eastAsia="Times New Roman"/>
                <w:spacing w:val="-3"/>
                <w:sz w:val="21"/>
              </w:rPr>
              <w:t xml:space="preserve">100 </w:t>
            </w:r>
            <w:r>
              <w:rPr>
                <w:spacing w:val="-6"/>
                <w:sz w:val="21"/>
              </w:rPr>
              <w:t xml:space="preserve">万亩，茶叶、核桃和中药材等 </w:t>
            </w:r>
            <w:r>
              <w:rPr>
                <w:rFonts w:ascii="Times New Roman" w:eastAsia="Times New Roman"/>
                <w:sz w:val="21"/>
              </w:rPr>
              <w:t xml:space="preserve">100 </w:t>
            </w:r>
            <w:r>
              <w:rPr>
                <w:spacing w:val="-3"/>
                <w:sz w:val="21"/>
              </w:rPr>
              <w:t>万亩。大力推广水肥一体技术。以火龙果、辣椒、猕猴桃等优势作物为重点，全面推广</w:t>
            </w:r>
          </w:p>
          <w:p>
            <w:pPr>
              <w:pStyle w:val="12"/>
              <w:spacing w:before="3" w:line="245" w:lineRule="exact"/>
              <w:ind w:left="109"/>
              <w:rPr>
                <w:sz w:val="21"/>
              </w:rPr>
            </w:pPr>
            <w:r>
              <w:rPr>
                <w:sz w:val="21"/>
              </w:rPr>
              <w:t>膜下滴灌、微喷灌、集雨补灌水肥一体化模式。</w:t>
            </w:r>
          </w:p>
        </w:tc>
        <w:tc>
          <w:tcPr>
            <w:tcW w:w="5676" w:type="dxa"/>
            <w:tcBorders>
              <w:top w:val="single" w:color="000000" w:sz="4" w:space="0"/>
              <w:bottom w:val="single" w:color="000000" w:sz="4" w:space="0"/>
            </w:tcBorders>
          </w:tcPr>
          <w:p>
            <w:pPr>
              <w:pStyle w:val="12"/>
              <w:spacing w:before="3"/>
              <w:rPr>
                <w:b/>
                <w:sz w:val="23"/>
              </w:rPr>
            </w:pPr>
          </w:p>
          <w:p>
            <w:pPr>
              <w:pStyle w:val="12"/>
              <w:spacing w:before="1" w:line="285" w:lineRule="auto"/>
              <w:ind w:left="109" w:right="93"/>
              <w:rPr>
                <w:sz w:val="21"/>
              </w:rPr>
            </w:pPr>
            <w:r>
              <w:rPr>
                <w:sz w:val="21"/>
              </w:rPr>
              <w:t>《关于在畜禽养殖废弃物资源化利用过程中加强环境监管的通知》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9" w:line="280" w:lineRule="atLeast"/>
              <w:ind w:left="109" w:right="99"/>
              <w:rPr>
                <w:sz w:val="21"/>
              </w:rPr>
            </w:pPr>
            <w:r>
              <w:rPr>
                <w:rFonts w:ascii="Times New Roman" w:eastAsia="Times New Roman"/>
                <w:sz w:val="21"/>
              </w:rPr>
              <w:t xml:space="preserve">3.2020 </w:t>
            </w:r>
            <w:r>
              <w:rPr>
                <w:spacing w:val="-9"/>
                <w:sz w:val="21"/>
              </w:rPr>
              <w:t xml:space="preserve">年，全省畜禽粪污综合利用率达到 </w:t>
            </w:r>
            <w:r>
              <w:rPr>
                <w:rFonts w:ascii="Times New Roman" w:eastAsia="Times New Roman"/>
                <w:sz w:val="21"/>
              </w:rPr>
              <w:t>75%</w:t>
            </w:r>
            <w:r>
              <w:rPr>
                <w:spacing w:val="-9"/>
                <w:sz w:val="21"/>
              </w:rPr>
              <w:t xml:space="preserve">以上，规模养殖场粪污处理设施装备配套率达到 </w:t>
            </w:r>
            <w:r>
              <w:rPr>
                <w:rFonts w:ascii="Times New Roman" w:eastAsia="Times New Roman"/>
                <w:sz w:val="21"/>
              </w:rPr>
              <w:t>95%</w:t>
            </w:r>
            <w:r>
              <w:rPr>
                <w:spacing w:val="-7"/>
                <w:sz w:val="21"/>
              </w:rPr>
              <w:t>以上，大型规模养殖场粪污</w:t>
            </w:r>
            <w:r>
              <w:rPr>
                <w:spacing w:val="-10"/>
                <w:sz w:val="21"/>
              </w:rPr>
              <w:t xml:space="preserve">处理设施装备配套率达到 </w:t>
            </w:r>
            <w:r>
              <w:rPr>
                <w:rFonts w:ascii="Times New Roman" w:eastAsia="Times New Roman"/>
                <w:sz w:val="21"/>
              </w:rPr>
              <w:t>100%</w:t>
            </w:r>
            <w:r>
              <w:rPr>
                <w:sz w:val="21"/>
              </w:rPr>
              <w:t>。</w:t>
            </w:r>
          </w:p>
        </w:tc>
        <w:tc>
          <w:tcPr>
            <w:tcW w:w="5676" w:type="dxa"/>
            <w:tcBorders>
              <w:top w:val="single" w:color="000000" w:sz="4" w:space="0"/>
              <w:bottom w:val="single" w:color="000000" w:sz="4" w:space="0"/>
            </w:tcBorders>
          </w:tcPr>
          <w:p>
            <w:pPr>
              <w:pStyle w:val="12"/>
              <w:spacing w:before="171"/>
              <w:ind w:left="109"/>
              <w:rPr>
                <w:sz w:val="21"/>
              </w:rPr>
            </w:pPr>
            <w:r>
              <w:rPr>
                <w:sz w:val="21"/>
              </w:rPr>
              <w:t>《贵州省畜禽养殖废弃物资源化利用工作方案》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45" w:line="280" w:lineRule="atLeast"/>
              <w:ind w:left="109" w:right="99"/>
              <w:rPr>
                <w:sz w:val="21"/>
              </w:rPr>
            </w:pPr>
            <w:r>
              <w:rPr>
                <w:rFonts w:ascii="Times New Roman" w:eastAsia="Times New Roman"/>
                <w:sz w:val="21"/>
              </w:rPr>
              <w:t xml:space="preserve">4.2020 </w:t>
            </w:r>
            <w:r>
              <w:rPr>
                <w:spacing w:val="-9"/>
                <w:sz w:val="21"/>
              </w:rPr>
              <w:t xml:space="preserve">年，农作物化肥施用量、农药使用量与上年度相比实现零增长。测土配方施肥技术到户率达到 </w:t>
            </w:r>
            <w:r>
              <w:rPr>
                <w:rFonts w:ascii="Times New Roman" w:eastAsia="Times New Roman"/>
                <w:spacing w:val="-5"/>
                <w:sz w:val="21"/>
              </w:rPr>
              <w:t>90%</w:t>
            </w:r>
            <w:r>
              <w:rPr>
                <w:spacing w:val="-3"/>
                <w:sz w:val="21"/>
              </w:rPr>
              <w:t>，农作物肥料利用率</w:t>
            </w:r>
            <w:r>
              <w:rPr>
                <w:spacing w:val="-20"/>
                <w:sz w:val="21"/>
              </w:rPr>
              <w:t xml:space="preserve">达到 </w:t>
            </w:r>
            <w:r>
              <w:rPr>
                <w:rFonts w:ascii="Times New Roman" w:eastAsia="Times New Roman"/>
                <w:sz w:val="21"/>
              </w:rPr>
              <w:t>40%</w:t>
            </w:r>
            <w:r>
              <w:rPr>
                <w:spacing w:val="-7"/>
                <w:sz w:val="21"/>
              </w:rPr>
              <w:t xml:space="preserve">。农作物绿色防控技术覆盖率达 </w:t>
            </w:r>
            <w:r>
              <w:rPr>
                <w:rFonts w:ascii="Times New Roman" w:eastAsia="Times New Roman"/>
                <w:sz w:val="21"/>
              </w:rPr>
              <w:t>30%</w:t>
            </w:r>
            <w:r>
              <w:rPr>
                <w:spacing w:val="-7"/>
                <w:sz w:val="21"/>
              </w:rPr>
              <w:t xml:space="preserve">，专业化统防统治覆盖率达 </w:t>
            </w:r>
            <w:r>
              <w:rPr>
                <w:rFonts w:ascii="Times New Roman" w:eastAsia="Times New Roman"/>
                <w:spacing w:val="-3"/>
                <w:sz w:val="21"/>
              </w:rPr>
              <w:t>33%</w:t>
            </w:r>
            <w:r>
              <w:rPr>
                <w:sz w:val="21"/>
              </w:rPr>
              <w:t>。</w:t>
            </w:r>
          </w:p>
        </w:tc>
        <w:tc>
          <w:tcPr>
            <w:tcW w:w="5676" w:type="dxa"/>
            <w:tcBorders>
              <w:top w:val="single" w:color="000000" w:sz="4" w:space="0"/>
              <w:bottom w:val="single" w:color="000000" w:sz="4" w:space="0"/>
            </w:tcBorders>
          </w:tcPr>
          <w:p>
            <w:pPr>
              <w:pStyle w:val="12"/>
              <w:spacing w:before="46"/>
              <w:ind w:left="109"/>
              <w:rPr>
                <w:sz w:val="21"/>
              </w:rPr>
            </w:pPr>
            <w:r>
              <w:rPr>
                <w:sz w:val="21"/>
              </w:rPr>
              <w:t>《关于在畜禽养殖废弃物资源化利用过程中加强环境监管的</w:t>
            </w:r>
          </w:p>
          <w:p>
            <w:pPr>
              <w:pStyle w:val="12"/>
              <w:spacing w:before="53" w:line="252" w:lineRule="exact"/>
              <w:ind w:left="109"/>
              <w:rPr>
                <w:sz w:val="21"/>
              </w:rPr>
            </w:pPr>
            <w:r>
              <w:rPr>
                <w:sz w:val="21"/>
              </w:rPr>
              <w:t>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650" w:type="dxa"/>
            <w:vMerge w:val="continue"/>
            <w:tcBorders>
              <w:top w:val="nil"/>
            </w:tcBorders>
          </w:tcPr>
          <w:p>
            <w:pPr>
              <w:rPr>
                <w:sz w:val="2"/>
                <w:szCs w:val="2"/>
              </w:rPr>
            </w:pPr>
          </w:p>
        </w:tc>
        <w:tc>
          <w:tcPr>
            <w:tcW w:w="761" w:type="dxa"/>
            <w:vMerge w:val="continue"/>
            <w:tcBorders>
              <w:top w:val="nil"/>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bottom w:val="single" w:color="000000" w:sz="4" w:space="0"/>
            </w:tcBorders>
          </w:tcPr>
          <w:p>
            <w:pPr>
              <w:pStyle w:val="12"/>
              <w:spacing w:before="20"/>
              <w:ind w:left="109"/>
              <w:rPr>
                <w:sz w:val="21"/>
              </w:rPr>
            </w:pPr>
            <w:r>
              <w:rPr>
                <w:rFonts w:ascii="Times New Roman" w:eastAsia="Times New Roman"/>
                <w:sz w:val="21"/>
              </w:rPr>
              <w:t xml:space="preserve">5.2020 </w:t>
            </w:r>
            <w:r>
              <w:rPr>
                <w:sz w:val="21"/>
              </w:rPr>
              <w:t>年，</w:t>
            </w:r>
            <w:r>
              <w:rPr>
                <w:rFonts w:ascii="Times New Roman" w:eastAsia="Times New Roman"/>
                <w:sz w:val="21"/>
              </w:rPr>
              <w:t>90%</w:t>
            </w:r>
            <w:r>
              <w:rPr>
                <w:sz w:val="21"/>
              </w:rPr>
              <w:t xml:space="preserve">的行政村生活垃圾得到有效处理，新增完成环境综合整治建制村应达到预期任务的 </w:t>
            </w:r>
            <w:r>
              <w:rPr>
                <w:rFonts w:ascii="Times New Roman" w:eastAsia="Times New Roman"/>
                <w:sz w:val="21"/>
              </w:rPr>
              <w:t xml:space="preserve">3000 </w:t>
            </w:r>
            <w:r>
              <w:rPr>
                <w:sz w:val="21"/>
              </w:rPr>
              <w:t>个。</w:t>
            </w:r>
          </w:p>
          <w:p>
            <w:pPr>
              <w:pStyle w:val="12"/>
              <w:spacing w:before="16"/>
              <w:ind w:left="109"/>
              <w:rPr>
                <w:sz w:val="21"/>
              </w:rPr>
            </w:pPr>
            <w:r>
              <w:rPr>
                <w:rFonts w:ascii="Times New Roman" w:eastAsia="Times New Roman"/>
                <w:sz w:val="21"/>
              </w:rPr>
              <w:t xml:space="preserve">2020 </w:t>
            </w:r>
            <w:r>
              <w:rPr>
                <w:spacing w:val="-11"/>
                <w:sz w:val="21"/>
              </w:rPr>
              <w:t xml:space="preserve">年，基本完成大型灌区、重点中型灌区续建配套和节水改造任务，全省高效节水灌溉工程面积达 </w:t>
            </w:r>
            <w:r>
              <w:rPr>
                <w:rFonts w:ascii="Times New Roman" w:eastAsia="Times New Roman"/>
                <w:sz w:val="21"/>
              </w:rPr>
              <w:t xml:space="preserve">100 </w:t>
            </w:r>
            <w:r>
              <w:rPr>
                <w:spacing w:val="-7"/>
                <w:sz w:val="21"/>
              </w:rPr>
              <w:t>万亩以上，农田灌溉</w:t>
            </w:r>
          </w:p>
          <w:p>
            <w:pPr>
              <w:pStyle w:val="12"/>
              <w:spacing w:before="19" w:line="245" w:lineRule="exact"/>
              <w:ind w:left="109"/>
              <w:rPr>
                <w:sz w:val="21"/>
              </w:rPr>
            </w:pPr>
            <w:r>
              <w:rPr>
                <w:sz w:val="21"/>
              </w:rPr>
              <w:t xml:space="preserve">水有效利用系数达 </w:t>
            </w:r>
            <w:r>
              <w:rPr>
                <w:rFonts w:ascii="Times New Roman" w:eastAsia="Times New Roman"/>
                <w:sz w:val="21"/>
              </w:rPr>
              <w:t xml:space="preserve">0.47 </w:t>
            </w:r>
            <w:r>
              <w:rPr>
                <w:sz w:val="21"/>
              </w:rPr>
              <w:t>以上。</w:t>
            </w:r>
          </w:p>
        </w:tc>
        <w:tc>
          <w:tcPr>
            <w:tcW w:w="5676" w:type="dxa"/>
            <w:tcBorders>
              <w:top w:val="single" w:color="000000" w:sz="4" w:space="0"/>
              <w:bottom w:val="single" w:color="000000" w:sz="4" w:space="0"/>
            </w:tcBorders>
          </w:tcPr>
          <w:p>
            <w:pPr>
              <w:pStyle w:val="12"/>
              <w:spacing w:before="157" w:line="285" w:lineRule="auto"/>
              <w:ind w:left="109" w:right="93"/>
              <w:rPr>
                <w:sz w:val="21"/>
              </w:rPr>
            </w:pPr>
            <w:r>
              <w:rPr>
                <w:spacing w:val="-13"/>
                <w:sz w:val="21"/>
              </w:rPr>
              <w:t>《贵州省畜禽养殖废弃物资源化利用工作方案》、《关于在畜</w:t>
            </w:r>
            <w:r>
              <w:rPr>
                <w:spacing w:val="-6"/>
                <w:sz w:val="21"/>
              </w:rPr>
              <w:t>禽养殖废弃物资源化利用过程中加强环境监管的通知》</w:t>
            </w:r>
          </w:p>
        </w:tc>
      </w:tr>
    </w:tbl>
    <w:p>
      <w:pPr>
        <w:spacing w:line="285" w:lineRule="auto"/>
        <w:rPr>
          <w:sz w:val="21"/>
        </w:rPr>
        <w:sectPr>
          <w:pgSz w:w="23760" w:h="16790" w:orient="landscape"/>
          <w:pgMar w:top="1080" w:right="660" w:bottom="1080" w:left="860" w:header="0" w:footer="894" w:gutter="0"/>
          <w:cols w:space="720" w:num="1"/>
        </w:sectPr>
      </w:pPr>
    </w:p>
    <w:tbl>
      <w:tblPr>
        <w:tblStyle w:val="3"/>
        <w:tblW w:w="21094"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761"/>
        <w:gridCol w:w="415"/>
        <w:gridCol w:w="1869"/>
        <w:gridCol w:w="11723"/>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50" w:type="dxa"/>
          </w:tcPr>
          <w:p>
            <w:pPr>
              <w:pStyle w:val="12"/>
              <w:spacing w:before="49" w:line="252" w:lineRule="exact"/>
              <w:ind w:left="112"/>
              <w:rPr>
                <w:b/>
                <w:sz w:val="21"/>
              </w:rPr>
            </w:pPr>
            <w:r>
              <w:rPr>
                <w:b/>
                <w:sz w:val="21"/>
              </w:rPr>
              <w:t>分类</w:t>
            </w:r>
          </w:p>
        </w:tc>
        <w:tc>
          <w:tcPr>
            <w:tcW w:w="761" w:type="dxa"/>
          </w:tcPr>
          <w:p>
            <w:pPr>
              <w:pStyle w:val="12"/>
              <w:spacing w:before="49" w:line="252" w:lineRule="exact"/>
              <w:ind w:left="168"/>
              <w:rPr>
                <w:b/>
                <w:sz w:val="21"/>
              </w:rPr>
            </w:pPr>
            <w:r>
              <w:rPr>
                <w:b/>
                <w:sz w:val="21"/>
              </w:rPr>
              <w:t>属性</w:t>
            </w:r>
          </w:p>
        </w:tc>
        <w:tc>
          <w:tcPr>
            <w:tcW w:w="2284" w:type="dxa"/>
            <w:gridSpan w:val="2"/>
          </w:tcPr>
          <w:p>
            <w:pPr>
              <w:pStyle w:val="12"/>
              <w:spacing w:before="49" w:line="252" w:lineRule="exact"/>
              <w:ind w:left="911" w:right="905"/>
              <w:jc w:val="center"/>
              <w:rPr>
                <w:b/>
                <w:sz w:val="21"/>
              </w:rPr>
            </w:pPr>
            <w:r>
              <w:rPr>
                <w:b/>
                <w:sz w:val="21"/>
              </w:rPr>
              <w:t>管控</w:t>
            </w:r>
          </w:p>
        </w:tc>
        <w:tc>
          <w:tcPr>
            <w:tcW w:w="11723" w:type="dxa"/>
            <w:tcBorders>
              <w:bottom w:val="single" w:color="000000" w:sz="4" w:space="0"/>
            </w:tcBorders>
          </w:tcPr>
          <w:p>
            <w:pPr>
              <w:pStyle w:val="12"/>
              <w:spacing w:before="49" w:line="252" w:lineRule="exact"/>
              <w:ind w:left="5315" w:right="5308"/>
              <w:jc w:val="center"/>
              <w:rPr>
                <w:b/>
                <w:sz w:val="21"/>
              </w:rPr>
            </w:pPr>
            <w:r>
              <w:rPr>
                <w:b/>
                <w:sz w:val="21"/>
              </w:rPr>
              <w:t>管控和要求</w:t>
            </w:r>
          </w:p>
        </w:tc>
        <w:tc>
          <w:tcPr>
            <w:tcW w:w="5676" w:type="dxa"/>
            <w:tcBorders>
              <w:bottom w:val="single" w:color="000000" w:sz="4" w:space="0"/>
            </w:tcBorders>
          </w:tcPr>
          <w:p>
            <w:pPr>
              <w:pStyle w:val="12"/>
              <w:spacing w:before="49" w:line="252" w:lineRule="exact"/>
              <w:ind w:left="2188" w:right="2178"/>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restart"/>
            <w:tcBorders>
              <w:bottom w:val="single" w:color="000000" w:sz="4" w:space="0"/>
            </w:tcBorders>
          </w:tcPr>
          <w:p>
            <w:pPr>
              <w:pStyle w:val="12"/>
              <w:rPr>
                <w:rFonts w:ascii="Times New Roman"/>
                <w:sz w:val="20"/>
              </w:rPr>
            </w:pPr>
          </w:p>
        </w:tc>
        <w:tc>
          <w:tcPr>
            <w:tcW w:w="761" w:type="dxa"/>
            <w:vMerge w:val="restart"/>
            <w:tcBorders>
              <w:bottom w:val="single" w:color="000000" w:sz="4" w:space="0"/>
            </w:tcBorders>
          </w:tcPr>
          <w:p>
            <w:pPr>
              <w:pStyle w:val="12"/>
              <w:rPr>
                <w:rFonts w:ascii="Times New Roman"/>
                <w:sz w:val="20"/>
              </w:rPr>
            </w:pPr>
          </w:p>
        </w:tc>
        <w:tc>
          <w:tcPr>
            <w:tcW w:w="415" w:type="dxa"/>
            <w:vMerge w:val="restart"/>
          </w:tcPr>
          <w:p>
            <w:pPr>
              <w:pStyle w:val="12"/>
              <w:rPr>
                <w:rFonts w:ascii="Times New Roman"/>
                <w:sz w:val="20"/>
              </w:rPr>
            </w:pPr>
          </w:p>
        </w:tc>
        <w:tc>
          <w:tcPr>
            <w:tcW w:w="1869" w:type="dxa"/>
            <w:vMerge w:val="restart"/>
          </w:tcPr>
          <w:p>
            <w:pPr>
              <w:pStyle w:val="12"/>
              <w:rPr>
                <w:rFonts w:ascii="Times New Roman"/>
                <w:sz w:val="20"/>
              </w:rPr>
            </w:pPr>
          </w:p>
        </w:tc>
        <w:tc>
          <w:tcPr>
            <w:tcW w:w="11723" w:type="dxa"/>
            <w:tcBorders>
              <w:top w:val="single" w:color="000000" w:sz="4" w:space="0"/>
              <w:bottom w:val="single" w:color="000000" w:sz="4" w:space="0"/>
            </w:tcBorders>
          </w:tcPr>
          <w:p>
            <w:pPr>
              <w:pStyle w:val="12"/>
              <w:spacing w:before="2"/>
              <w:rPr>
                <w:b/>
                <w:sz w:val="16"/>
              </w:rPr>
            </w:pPr>
          </w:p>
          <w:p>
            <w:pPr>
              <w:pStyle w:val="12"/>
              <w:spacing w:before="1"/>
              <w:ind w:left="109"/>
              <w:rPr>
                <w:sz w:val="21"/>
              </w:rPr>
            </w:pPr>
            <w:r>
              <w:rPr>
                <w:sz w:val="21"/>
              </w:rPr>
              <w:t>6.督促畜禽散养密集区所在地县、乡级人民政府落实责任，做好畜禽粪污的资源化利用。</w:t>
            </w:r>
          </w:p>
        </w:tc>
        <w:tc>
          <w:tcPr>
            <w:tcW w:w="5676" w:type="dxa"/>
            <w:tcBorders>
              <w:top w:val="single" w:color="000000" w:sz="4" w:space="0"/>
            </w:tcBorders>
          </w:tcPr>
          <w:p>
            <w:pPr>
              <w:pStyle w:val="12"/>
              <w:spacing w:before="1" w:line="320" w:lineRule="exact"/>
              <w:ind w:left="109" w:right="93"/>
              <w:rPr>
                <w:sz w:val="21"/>
              </w:rPr>
            </w:pPr>
            <w:r>
              <w:rPr>
                <w:sz w:val="21"/>
              </w:rPr>
              <w:t>《关于在畜禽养殖废弃物资源化利用过程中加强环境监管的通知》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415" w:type="dxa"/>
            <w:vMerge w:val="continue"/>
            <w:tcBorders>
              <w:top w:val="nil"/>
            </w:tcBorders>
          </w:tcPr>
          <w:p>
            <w:pPr>
              <w:rPr>
                <w:sz w:val="2"/>
                <w:szCs w:val="2"/>
              </w:rPr>
            </w:pPr>
          </w:p>
        </w:tc>
        <w:tc>
          <w:tcPr>
            <w:tcW w:w="1869" w:type="dxa"/>
            <w:vMerge w:val="continue"/>
            <w:tcBorders>
              <w:top w:val="nil"/>
            </w:tcBorders>
          </w:tcPr>
          <w:p>
            <w:pPr>
              <w:rPr>
                <w:sz w:val="2"/>
                <w:szCs w:val="2"/>
              </w:rPr>
            </w:pPr>
          </w:p>
        </w:tc>
        <w:tc>
          <w:tcPr>
            <w:tcW w:w="11723" w:type="dxa"/>
            <w:tcBorders>
              <w:top w:val="single" w:color="000000" w:sz="4" w:space="0"/>
            </w:tcBorders>
          </w:tcPr>
          <w:p>
            <w:pPr>
              <w:pStyle w:val="12"/>
              <w:spacing w:before="46"/>
              <w:ind w:left="109"/>
              <w:rPr>
                <w:sz w:val="21"/>
              </w:rPr>
            </w:pPr>
            <w:r>
              <w:rPr>
                <w:sz w:val="21"/>
              </w:rPr>
              <w:t>7.畜禽养殖业病死畜禽严格按照《贵州省人民政府办公厅关于建立病死畜禽无害化处理机制的实施意见》（黔府办发〔2016〕</w:t>
            </w:r>
          </w:p>
          <w:p>
            <w:pPr>
              <w:pStyle w:val="12"/>
              <w:spacing w:before="50" w:line="252" w:lineRule="exact"/>
              <w:ind w:left="109"/>
              <w:rPr>
                <w:sz w:val="21"/>
              </w:rPr>
            </w:pPr>
            <w:r>
              <w:rPr>
                <w:sz w:val="21"/>
              </w:rPr>
              <w:t>16 号）进行无害化，严防污染土壤和地下水。</w:t>
            </w:r>
          </w:p>
        </w:tc>
        <w:tc>
          <w:tcPr>
            <w:tcW w:w="5676" w:type="dxa"/>
          </w:tcPr>
          <w:p>
            <w:pPr>
              <w:pStyle w:val="12"/>
              <w:spacing w:line="320" w:lineRule="exact"/>
              <w:ind w:left="109" w:right="93"/>
              <w:rPr>
                <w:sz w:val="21"/>
              </w:rPr>
            </w:pPr>
            <w:r>
              <w:rPr>
                <w:sz w:val="21"/>
              </w:rPr>
              <w:t>《贵州省人民政府办公厅关于建立病死畜禽无害化处理机制的实施意见》（黔府办发〔2016〕16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50"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7"/>
              <w:rPr>
                <w:b/>
                <w:sz w:val="26"/>
              </w:rPr>
            </w:pPr>
          </w:p>
          <w:p>
            <w:pPr>
              <w:pStyle w:val="12"/>
              <w:ind w:left="115"/>
              <w:rPr>
                <w:sz w:val="21"/>
              </w:rPr>
            </w:pPr>
            <w:r>
              <w:rPr>
                <w:sz w:val="21"/>
              </w:rPr>
              <w:t>其他</w:t>
            </w:r>
          </w:p>
        </w:tc>
        <w:tc>
          <w:tcPr>
            <w:tcW w:w="761"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14"/>
              </w:rPr>
            </w:pPr>
          </w:p>
          <w:p>
            <w:pPr>
              <w:pStyle w:val="12"/>
              <w:spacing w:line="285" w:lineRule="auto"/>
              <w:ind w:left="170" w:right="160"/>
              <w:rPr>
                <w:sz w:val="21"/>
              </w:rPr>
            </w:pPr>
            <w:r>
              <w:rPr>
                <w:sz w:val="21"/>
              </w:rPr>
              <w:t>重点流域</w:t>
            </w:r>
          </w:p>
        </w:tc>
        <w:tc>
          <w:tcPr>
            <w:tcW w:w="2284" w:type="dxa"/>
            <w:gridSpan w:val="2"/>
            <w:vMerge w:val="restart"/>
          </w:tcPr>
          <w:p>
            <w:pPr>
              <w:pStyle w:val="12"/>
              <w:rPr>
                <w:b/>
                <w:sz w:val="20"/>
              </w:rPr>
            </w:pPr>
          </w:p>
          <w:p>
            <w:pPr>
              <w:pStyle w:val="12"/>
              <w:rPr>
                <w:b/>
                <w:sz w:val="20"/>
              </w:rPr>
            </w:pPr>
          </w:p>
          <w:p>
            <w:pPr>
              <w:pStyle w:val="12"/>
              <w:spacing w:before="175"/>
              <w:ind w:left="514"/>
              <w:rPr>
                <w:sz w:val="21"/>
              </w:rPr>
            </w:pPr>
            <w:r>
              <w:rPr>
                <w:sz w:val="21"/>
              </w:rPr>
              <w:t>环境风险防控</w:t>
            </w:r>
          </w:p>
        </w:tc>
        <w:tc>
          <w:tcPr>
            <w:tcW w:w="11723" w:type="dxa"/>
          </w:tcPr>
          <w:p>
            <w:pPr>
              <w:pStyle w:val="12"/>
              <w:spacing w:before="1" w:line="320" w:lineRule="exact"/>
              <w:ind w:left="109" w:right="-15"/>
              <w:rPr>
                <w:sz w:val="21"/>
              </w:rPr>
            </w:pPr>
            <w:r>
              <w:rPr>
                <w:rFonts w:ascii="Calibri" w:eastAsia="Calibri"/>
                <w:sz w:val="21"/>
              </w:rPr>
              <w:t>1.</w:t>
            </w:r>
            <w:r>
              <w:rPr>
                <w:spacing w:val="-8"/>
                <w:sz w:val="21"/>
              </w:rPr>
              <w:t xml:space="preserve">农田灌溉用水应当符合相应的水质标准，防止污染土壤，地下水和农产品。禁止向农田灌溉渠道排放工业废水或者医疗污水， </w:t>
            </w:r>
            <w:r>
              <w:rPr>
                <w:spacing w:val="-7"/>
                <w:sz w:val="21"/>
              </w:rPr>
              <w:t>向农田灌溉渠道排放城镇污水以及未综合利用的畜禽养殖废水、农产品加工废水的，应当保证其下游最近的灌溉取水点的水质</w:t>
            </w:r>
            <w:r>
              <w:rPr>
                <w:spacing w:val="-5"/>
                <w:sz w:val="21"/>
              </w:rPr>
              <w:t>符合农田灌溉水质标准。</w:t>
            </w:r>
          </w:p>
        </w:tc>
        <w:tc>
          <w:tcPr>
            <w:tcW w:w="5676" w:type="dxa"/>
          </w:tcPr>
          <w:p>
            <w:pPr>
              <w:pStyle w:val="12"/>
              <w:spacing w:before="8"/>
              <w:rPr>
                <w:b/>
                <w:sz w:val="21"/>
              </w:rPr>
            </w:pPr>
          </w:p>
          <w:p>
            <w:pPr>
              <w:pStyle w:val="12"/>
              <w:ind w:left="109"/>
              <w:rPr>
                <w:sz w:val="21"/>
              </w:rPr>
            </w:pPr>
            <w:r>
              <w:rPr>
                <w:sz w:val="21"/>
              </w:rPr>
              <w:t>《中华人民共和国水污染防治法》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40"/>
              <w:ind w:left="109"/>
              <w:rPr>
                <w:sz w:val="21"/>
              </w:rPr>
            </w:pPr>
            <w:r>
              <w:rPr>
                <w:rFonts w:ascii="Calibri" w:eastAsia="Calibri"/>
                <w:sz w:val="21"/>
              </w:rPr>
              <w:t>2.</w:t>
            </w:r>
            <w:r>
              <w:rPr>
                <w:sz w:val="21"/>
              </w:rPr>
              <w:t>不得在饮用水水源保护区、河道内丢弃农药包装物或者清洗施药器械。严禁在饮用水水源保护区内使用农药毒鱼、虾、鸟、</w:t>
            </w:r>
          </w:p>
          <w:p>
            <w:pPr>
              <w:pStyle w:val="12"/>
              <w:spacing w:before="50" w:line="250" w:lineRule="exact"/>
              <w:ind w:left="109"/>
              <w:rPr>
                <w:sz w:val="21"/>
              </w:rPr>
            </w:pPr>
            <w:r>
              <w:rPr>
                <w:sz w:val="21"/>
              </w:rPr>
              <w:t>兽等。</w:t>
            </w:r>
          </w:p>
        </w:tc>
        <w:tc>
          <w:tcPr>
            <w:tcW w:w="5676" w:type="dxa"/>
          </w:tcPr>
          <w:p>
            <w:pPr>
              <w:pStyle w:val="12"/>
              <w:spacing w:before="6"/>
              <w:rPr>
                <w:b/>
                <w:sz w:val="15"/>
              </w:rPr>
            </w:pPr>
          </w:p>
          <w:p>
            <w:pPr>
              <w:pStyle w:val="12"/>
              <w:spacing w:before="1"/>
              <w:ind w:left="109"/>
              <w:rPr>
                <w:sz w:val="21"/>
              </w:rPr>
            </w:pPr>
            <w:r>
              <w:rPr>
                <w:sz w:val="21"/>
              </w:rPr>
              <w:t>《农药管理条例》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1"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restart"/>
          </w:tcPr>
          <w:p>
            <w:pPr>
              <w:pStyle w:val="12"/>
              <w:rPr>
                <w:b/>
                <w:sz w:val="20"/>
              </w:rPr>
            </w:pPr>
          </w:p>
          <w:p>
            <w:pPr>
              <w:pStyle w:val="12"/>
              <w:rPr>
                <w:b/>
                <w:sz w:val="20"/>
              </w:rPr>
            </w:pPr>
          </w:p>
          <w:p>
            <w:pPr>
              <w:pStyle w:val="12"/>
              <w:rPr>
                <w:b/>
                <w:sz w:val="20"/>
              </w:rPr>
            </w:pPr>
          </w:p>
          <w:p>
            <w:pPr>
              <w:pStyle w:val="12"/>
              <w:rPr>
                <w:b/>
                <w:sz w:val="24"/>
              </w:rPr>
            </w:pPr>
          </w:p>
          <w:p>
            <w:pPr>
              <w:pStyle w:val="12"/>
              <w:ind w:left="408"/>
              <w:rPr>
                <w:sz w:val="21"/>
              </w:rPr>
            </w:pPr>
            <w:r>
              <w:rPr>
                <w:sz w:val="21"/>
              </w:rPr>
              <w:t>水污染防治措施</w:t>
            </w:r>
          </w:p>
        </w:tc>
        <w:tc>
          <w:tcPr>
            <w:tcW w:w="11723" w:type="dxa"/>
          </w:tcPr>
          <w:p>
            <w:pPr>
              <w:pStyle w:val="12"/>
              <w:spacing w:before="12"/>
              <w:rPr>
                <w:b/>
                <w:sz w:val="28"/>
              </w:rPr>
            </w:pPr>
          </w:p>
          <w:p>
            <w:pPr>
              <w:pStyle w:val="12"/>
              <w:spacing w:line="285" w:lineRule="auto"/>
              <w:ind w:left="109" w:right="94"/>
              <w:rPr>
                <w:sz w:val="21"/>
              </w:rPr>
            </w:pPr>
            <w:r>
              <w:rPr>
                <w:spacing w:val="-4"/>
                <w:sz w:val="21"/>
              </w:rPr>
              <w:t>1.（</w:t>
            </w:r>
            <w:r>
              <w:rPr>
                <w:spacing w:val="-3"/>
                <w:sz w:val="21"/>
              </w:rPr>
              <w:t>良好水体保护</w:t>
            </w:r>
            <w:r>
              <w:rPr>
                <w:spacing w:val="-13"/>
                <w:sz w:val="21"/>
              </w:rPr>
              <w:t>）</w:t>
            </w:r>
            <w:r>
              <w:rPr>
                <w:spacing w:val="-5"/>
                <w:sz w:val="21"/>
              </w:rPr>
              <w:t>对源头及现状水质达到或优于Ⅲ类的江河湖库开展生态环境安全评估，制定生态环境保护方案，进一步完</w:t>
            </w:r>
            <w:r>
              <w:rPr>
                <w:spacing w:val="-6"/>
                <w:sz w:val="21"/>
              </w:rPr>
              <w:t xml:space="preserve">善生活污水整治，水库植物生态保育，生态修复等工程；确保各大饮用水水源地水质维持 </w:t>
            </w:r>
            <w:r>
              <w:rPr>
                <w:sz w:val="21"/>
              </w:rPr>
              <w:t>100</w:t>
            </w:r>
            <w:r>
              <w:rPr>
                <w:spacing w:val="-1"/>
                <w:sz w:val="21"/>
              </w:rPr>
              <w:t>%达标。</w:t>
            </w:r>
          </w:p>
        </w:tc>
        <w:tc>
          <w:tcPr>
            <w:tcW w:w="5676" w:type="dxa"/>
          </w:tcPr>
          <w:p>
            <w:pPr>
              <w:pStyle w:val="12"/>
              <w:rPr>
                <w:b/>
                <w:sz w:val="20"/>
              </w:rPr>
            </w:pPr>
          </w:p>
          <w:p>
            <w:pPr>
              <w:pStyle w:val="12"/>
              <w:spacing w:before="10"/>
              <w:rPr>
                <w:b/>
                <w:sz w:val="16"/>
              </w:rPr>
            </w:pPr>
          </w:p>
          <w:p>
            <w:pPr>
              <w:pStyle w:val="12"/>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49" w:line="285" w:lineRule="auto"/>
              <w:ind w:left="109" w:right="97"/>
              <w:jc w:val="both"/>
              <w:rPr>
                <w:sz w:val="21"/>
              </w:rPr>
            </w:pPr>
            <w:r>
              <w:rPr>
                <w:sz w:val="21"/>
              </w:rPr>
              <w:t>2.2020</w:t>
            </w:r>
            <w:r>
              <w:rPr>
                <w:spacing w:val="-8"/>
                <w:sz w:val="21"/>
              </w:rPr>
              <w:t xml:space="preserve"> 年全省地下水水质持续良好;八大水系主要河流水质优良比例超过 </w:t>
            </w:r>
            <w:r>
              <w:rPr>
                <w:spacing w:val="-14"/>
                <w:sz w:val="21"/>
              </w:rPr>
              <w:t>90</w:t>
            </w:r>
            <w:r>
              <w:rPr>
                <w:spacing w:val="-8"/>
                <w:sz w:val="21"/>
              </w:rPr>
              <w:t xml:space="preserve">%，出境断面水质优良比例超过 </w:t>
            </w:r>
            <w:r>
              <w:rPr>
                <w:spacing w:val="-14"/>
                <w:sz w:val="21"/>
              </w:rPr>
              <w:t>90</w:t>
            </w:r>
            <w:r>
              <w:rPr>
                <w:spacing w:val="-7"/>
                <w:sz w:val="21"/>
              </w:rPr>
              <w:t>%；地级以上城市</w:t>
            </w:r>
            <w:r>
              <w:rPr>
                <w:spacing w:val="-5"/>
                <w:sz w:val="21"/>
              </w:rPr>
              <w:t xml:space="preserve">建成区黑臭水体均控制在 </w:t>
            </w:r>
            <w:r>
              <w:rPr>
                <w:sz w:val="21"/>
              </w:rPr>
              <w:t>10%</w:t>
            </w:r>
            <w:r>
              <w:rPr>
                <w:spacing w:val="-2"/>
                <w:sz w:val="21"/>
              </w:rPr>
              <w:t>以内；</w:t>
            </w:r>
            <w:r>
              <w:rPr>
                <w:sz w:val="21"/>
              </w:rPr>
              <w:t>2030</w:t>
            </w:r>
            <w:r>
              <w:rPr>
                <w:spacing w:val="-3"/>
                <w:sz w:val="21"/>
              </w:rPr>
              <w:t xml:space="preserve"> 年，全省水环境质量总体优良，水生态系统功能良好;全省两大流域八大水系水质持续稳定改善，城市建成区黑臭水体总体得到消除。</w:t>
            </w:r>
          </w:p>
        </w:tc>
        <w:tc>
          <w:tcPr>
            <w:tcW w:w="5676" w:type="dxa"/>
          </w:tcPr>
          <w:p>
            <w:pPr>
              <w:pStyle w:val="12"/>
              <w:spacing w:before="9"/>
              <w:rPr>
                <w:b/>
                <w:sz w:val="28"/>
              </w:rPr>
            </w:pPr>
          </w:p>
          <w:p>
            <w:pPr>
              <w:pStyle w:val="12"/>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rPr>
            </w:pPr>
          </w:p>
          <w:p>
            <w:pPr>
              <w:pStyle w:val="12"/>
              <w:spacing w:line="285" w:lineRule="auto"/>
              <w:ind w:left="115" w:right="105"/>
              <w:rPr>
                <w:sz w:val="21"/>
              </w:rPr>
            </w:pPr>
            <w:r>
              <w:rPr>
                <w:sz w:val="21"/>
              </w:rPr>
              <w:t>一般管控</w:t>
            </w:r>
          </w:p>
        </w:tc>
        <w:tc>
          <w:tcPr>
            <w:tcW w:w="761" w:type="dxa"/>
            <w:vMerge w:val="restart"/>
            <w:tcBorders>
              <w:top w:val="single" w:color="000000" w:sz="4" w:space="0"/>
              <w:bottom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rPr>
            </w:pPr>
          </w:p>
          <w:p>
            <w:pPr>
              <w:pStyle w:val="12"/>
              <w:spacing w:line="285" w:lineRule="auto"/>
              <w:ind w:left="170" w:right="160"/>
              <w:rPr>
                <w:sz w:val="21"/>
              </w:rPr>
            </w:pPr>
            <w:r>
              <w:rPr>
                <w:sz w:val="21"/>
              </w:rPr>
              <w:t>一般管控</w:t>
            </w:r>
          </w:p>
        </w:tc>
        <w:tc>
          <w:tcPr>
            <w:tcW w:w="2284" w:type="dxa"/>
            <w:gridSpan w:val="2"/>
          </w:tcPr>
          <w:p>
            <w:pPr>
              <w:pStyle w:val="12"/>
              <w:spacing w:before="4"/>
              <w:rPr>
                <w:b/>
                <w:sz w:val="16"/>
              </w:rPr>
            </w:pPr>
          </w:p>
          <w:p>
            <w:pPr>
              <w:pStyle w:val="12"/>
              <w:ind w:left="514"/>
              <w:rPr>
                <w:sz w:val="21"/>
              </w:rPr>
            </w:pPr>
            <w:r>
              <w:rPr>
                <w:sz w:val="21"/>
              </w:rPr>
              <w:t>空间布局约束</w:t>
            </w:r>
          </w:p>
        </w:tc>
        <w:tc>
          <w:tcPr>
            <w:tcW w:w="11723" w:type="dxa"/>
          </w:tcPr>
          <w:p>
            <w:pPr>
              <w:pStyle w:val="12"/>
              <w:spacing w:before="4"/>
              <w:rPr>
                <w:b/>
                <w:sz w:val="16"/>
              </w:rPr>
            </w:pPr>
          </w:p>
          <w:p>
            <w:pPr>
              <w:pStyle w:val="12"/>
              <w:ind w:left="109"/>
              <w:rPr>
                <w:sz w:val="21"/>
              </w:rPr>
            </w:pPr>
            <w:r>
              <w:rPr>
                <w:sz w:val="21"/>
              </w:rPr>
              <w:t>1.优化长江经济带产业布局和规模，严禁污染型产业、企业向上中游地区转移</w:t>
            </w:r>
          </w:p>
        </w:tc>
        <w:tc>
          <w:tcPr>
            <w:tcW w:w="5676" w:type="dxa"/>
          </w:tcPr>
          <w:p>
            <w:pPr>
              <w:pStyle w:val="12"/>
              <w:spacing w:before="1" w:line="322" w:lineRule="exact"/>
              <w:ind w:left="109" w:right="97"/>
              <w:rPr>
                <w:sz w:val="21"/>
              </w:rPr>
            </w:pPr>
            <w:r>
              <w:rPr>
                <w:sz w:val="21"/>
              </w:rPr>
              <w:t>《中共中央 国务院 关于全面加强生态环境保护 坚决打好污染防治攻坚战的意见》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3"/>
              <w:ind w:left="108"/>
              <w:rPr>
                <w:sz w:val="21"/>
              </w:rPr>
            </w:pPr>
            <w:r>
              <w:rPr>
                <w:sz w:val="21"/>
              </w:rPr>
              <w:t>污染物排放管控</w:t>
            </w:r>
          </w:p>
        </w:tc>
        <w:tc>
          <w:tcPr>
            <w:tcW w:w="11723" w:type="dxa"/>
          </w:tcPr>
          <w:p>
            <w:pPr>
              <w:pStyle w:val="12"/>
              <w:spacing w:before="114"/>
              <w:ind w:left="109"/>
              <w:rPr>
                <w:sz w:val="21"/>
              </w:rPr>
            </w:pPr>
            <w:r>
              <w:rPr>
                <w:sz w:val="21"/>
              </w:rPr>
              <w:t>1. 加快补齐城镇污水收集和处理设施短板，尽快实现污水管网全覆盖、全收集、全处理。</w:t>
            </w:r>
          </w:p>
        </w:tc>
        <w:tc>
          <w:tcPr>
            <w:tcW w:w="5676" w:type="dxa"/>
          </w:tcPr>
          <w:p>
            <w:pPr>
              <w:pStyle w:val="12"/>
              <w:spacing w:before="114"/>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9"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numPr>
                <w:ilvl w:val="0"/>
                <w:numId w:val="17"/>
              </w:numPr>
              <w:tabs>
                <w:tab w:val="left" w:pos="427"/>
              </w:tabs>
              <w:spacing w:before="49" w:line="285" w:lineRule="auto"/>
              <w:ind w:right="96" w:firstLine="0"/>
              <w:rPr>
                <w:sz w:val="21"/>
              </w:rPr>
            </w:pPr>
            <w:r>
              <w:rPr>
                <w:spacing w:val="-1"/>
                <w:sz w:val="21"/>
              </w:rPr>
              <w:t>已建成的生活污水处理设施要确保稳定运行，建成区水体水质达不到地表水Ⅳ类标准的城市，新建城镇污水处理设施执行</w:t>
            </w:r>
            <w:r>
              <w:rPr>
                <w:spacing w:val="-18"/>
                <w:sz w:val="21"/>
              </w:rPr>
              <w:t xml:space="preserve">一级 </w:t>
            </w:r>
            <w:r>
              <w:rPr>
                <w:sz w:val="21"/>
              </w:rPr>
              <w:t>A</w:t>
            </w:r>
            <w:r>
              <w:rPr>
                <w:spacing w:val="-15"/>
                <w:sz w:val="21"/>
              </w:rPr>
              <w:t xml:space="preserve"> 排放标准。。地级以上城市建成区实现污水管网全覆盖、全收集、全处理，基本消除污水直排现象；</w:t>
            </w:r>
          </w:p>
          <w:p>
            <w:pPr>
              <w:pStyle w:val="12"/>
              <w:numPr>
                <w:ilvl w:val="0"/>
                <w:numId w:val="17"/>
              </w:numPr>
              <w:tabs>
                <w:tab w:val="left" w:pos="427"/>
              </w:tabs>
              <w:spacing w:line="267" w:lineRule="exact"/>
              <w:ind w:left="426" w:hanging="318"/>
              <w:rPr>
                <w:sz w:val="21"/>
              </w:rPr>
            </w:pPr>
            <w:r>
              <w:rPr>
                <w:sz w:val="21"/>
              </w:rPr>
              <w:t>新建、改建、扩建城镇污水处理厂污泥处置设施必须与污水处理设施同步规划、同步建设、同步投产使用。推进城镇污泥</w:t>
            </w:r>
          </w:p>
          <w:p>
            <w:pPr>
              <w:pStyle w:val="12"/>
              <w:spacing w:before="53" w:line="250" w:lineRule="exact"/>
              <w:ind w:left="109"/>
              <w:rPr>
                <w:sz w:val="21"/>
              </w:rPr>
            </w:pPr>
            <w:r>
              <w:rPr>
                <w:sz w:val="21"/>
              </w:rPr>
              <w:t>处理减量化、稳定化、无害化处理处置，提高脱水污泥的综合利用处置率。</w:t>
            </w:r>
          </w:p>
        </w:tc>
        <w:tc>
          <w:tcPr>
            <w:tcW w:w="5676" w:type="dxa"/>
          </w:tcPr>
          <w:p>
            <w:pPr>
              <w:pStyle w:val="12"/>
              <w:rPr>
                <w:b/>
                <w:sz w:val="20"/>
              </w:rPr>
            </w:pPr>
          </w:p>
          <w:p>
            <w:pPr>
              <w:pStyle w:val="12"/>
              <w:spacing w:before="4"/>
              <w:rPr>
                <w:b/>
                <w:sz w:val="21"/>
              </w:rPr>
            </w:pPr>
          </w:p>
          <w:p>
            <w:pPr>
              <w:pStyle w:val="12"/>
              <w:ind w:left="109"/>
              <w:rPr>
                <w:sz w:val="21"/>
              </w:rPr>
            </w:pPr>
            <w:r>
              <w:rPr>
                <w:sz w:val="21"/>
              </w:rPr>
              <w:t>《贵州省城镇污水处理设施建设三年行动方案》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118"/>
              <w:ind w:left="109"/>
              <w:rPr>
                <w:sz w:val="21"/>
              </w:rPr>
            </w:pPr>
            <w:r>
              <w:rPr>
                <w:sz w:val="21"/>
              </w:rPr>
              <w:t>4. 强化城中村、老旧城区和城乡结合部污水截流、收集。</w:t>
            </w:r>
          </w:p>
        </w:tc>
        <w:tc>
          <w:tcPr>
            <w:tcW w:w="5676" w:type="dxa"/>
          </w:tcPr>
          <w:p>
            <w:pPr>
              <w:pStyle w:val="12"/>
              <w:spacing w:before="118"/>
              <w:ind w:left="109"/>
              <w:rPr>
                <w:sz w:val="21"/>
              </w:rPr>
            </w:pPr>
            <w:r>
              <w:rPr>
                <w:sz w:val="21"/>
              </w:rPr>
              <w:t>《贵州省水污染防治行动计划》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2"/>
              <w:rPr>
                <w:b/>
                <w:sz w:val="16"/>
              </w:rPr>
            </w:pPr>
          </w:p>
          <w:p>
            <w:pPr>
              <w:pStyle w:val="12"/>
              <w:ind w:left="109"/>
              <w:rPr>
                <w:sz w:val="21"/>
              </w:rPr>
            </w:pPr>
            <w:r>
              <w:rPr>
                <w:sz w:val="21"/>
              </w:rPr>
              <w:t>5. 推动现有合流制排水系统实施雨污分流改造，加强城市初期雨水收集处理设施建设，有效减少城市面源污染。</w:t>
            </w:r>
          </w:p>
        </w:tc>
        <w:tc>
          <w:tcPr>
            <w:tcW w:w="5676" w:type="dxa"/>
          </w:tcPr>
          <w:p>
            <w:pPr>
              <w:pStyle w:val="12"/>
              <w:spacing w:before="3" w:line="320" w:lineRule="exact"/>
              <w:ind w:left="109" w:right="93"/>
              <w:rPr>
                <w:sz w:val="21"/>
              </w:rPr>
            </w:pPr>
            <w:r>
              <w:fldChar w:fldCharType="begin"/>
            </w:r>
            <w:r>
              <w:instrText xml:space="preserve"> HYPERLINK "http://www.baidu.com/link?url=ijDfrMs2728voQb6RdX9cjysMwCC2ZXrBsjFpBzrAZVJirf6L_yzXIRC9Zg7JW04-2lh5T99fYIVK9w-v5TURq" </w:instrText>
            </w:r>
            <w:r>
              <w:fldChar w:fldCharType="separate"/>
            </w:r>
            <w:r>
              <w:rPr>
                <w:sz w:val="21"/>
              </w:rPr>
              <w:t>《贵州省“十三五”城镇污水处理及再生水利用设施建设规</w:t>
            </w:r>
            <w:r>
              <w:rPr>
                <w:sz w:val="21"/>
              </w:rPr>
              <w:fldChar w:fldCharType="end"/>
            </w:r>
            <w:r>
              <w:fldChar w:fldCharType="begin"/>
            </w:r>
            <w:r>
              <w:instrText xml:space="preserve"> HYPERLINK "http://www.baidu.com/link?url=ijDfrMs2728voQb6RdX9cjysMwCC2ZXrBsjFpBzrAZVJirf6L_yzXIRC9Zg7JW04-2lh5T99fYIVK9w-v5TURq" </w:instrText>
            </w:r>
            <w:r>
              <w:fldChar w:fldCharType="separate"/>
            </w:r>
            <w:r>
              <w:rPr>
                <w:sz w:val="21"/>
              </w:rPr>
              <w:t>划</w:t>
            </w:r>
            <w:r>
              <w:rPr>
                <w:sz w:val="21"/>
              </w:rPr>
              <w:fldChar w:fldCharType="end"/>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line="320" w:lineRule="exact"/>
              <w:ind w:left="109" w:right="96"/>
              <w:rPr>
                <w:sz w:val="21"/>
              </w:rPr>
            </w:pPr>
            <w:r>
              <w:rPr>
                <w:sz w:val="21"/>
              </w:rPr>
              <w:t>6. 严格执行化肥、农药等农业投入品质量标准，严格控制高毒高风险农药使用，推进有机肥替代化肥、病虫害绿色防控替代化学防治和废弃农膜回收。</w:t>
            </w:r>
          </w:p>
        </w:tc>
        <w:tc>
          <w:tcPr>
            <w:tcW w:w="5676" w:type="dxa"/>
          </w:tcPr>
          <w:p>
            <w:pPr>
              <w:pStyle w:val="12"/>
              <w:spacing w:before="12"/>
              <w:rPr>
                <w:b/>
                <w:sz w:val="15"/>
              </w:rPr>
            </w:pPr>
          </w:p>
          <w:p>
            <w:pPr>
              <w:pStyle w:val="12"/>
              <w:ind w:left="109"/>
              <w:rPr>
                <w:sz w:val="21"/>
              </w:rPr>
            </w:pPr>
            <w:r>
              <w:fldChar w:fldCharType="begin"/>
            </w:r>
            <w:r>
              <w:instrText xml:space="preserve"> HYPERLINK "http://www.baidu.com/link?url=b5mS2T21CC_qBP7WJsi8joOwFFYYjtsAqPii5Hn6KNTAfXgoKPx_yQChThSAsyjrnfecDjUGvp1DOFZRq3xXEqJ_fRiFNdsDZK4WV3xiXA_lpxydE6WZKKUzNDqrol3_" </w:instrText>
            </w:r>
            <w:r>
              <w:fldChar w:fldCharType="separate"/>
            </w:r>
            <w:r>
              <w:rPr>
                <w:sz w:val="21"/>
              </w:rPr>
              <w:t>《农业农村污染治理攻坚战行动计划》</w:t>
            </w:r>
            <w:r>
              <w:rPr>
                <w:sz w:val="21"/>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rPr>
                <w:b/>
                <w:sz w:val="16"/>
              </w:rPr>
            </w:pPr>
          </w:p>
          <w:p>
            <w:pPr>
              <w:pStyle w:val="12"/>
              <w:spacing w:before="1"/>
              <w:ind w:left="109"/>
              <w:rPr>
                <w:sz w:val="21"/>
              </w:rPr>
            </w:pPr>
            <w:r>
              <w:rPr>
                <w:sz w:val="21"/>
              </w:rPr>
              <w:t>7. 加强畜禽养殖业粪污治理，坚持种植和养殖相结合，就近就地消纳畜禽养殖废弃物。</w:t>
            </w:r>
          </w:p>
        </w:tc>
        <w:tc>
          <w:tcPr>
            <w:tcW w:w="5676" w:type="dxa"/>
          </w:tcPr>
          <w:p>
            <w:pPr>
              <w:pStyle w:val="12"/>
              <w:spacing w:before="44"/>
              <w:ind w:left="109"/>
              <w:rPr>
                <w:sz w:val="21"/>
              </w:rPr>
            </w:pPr>
            <w:r>
              <w:rPr>
                <w:sz w:val="21"/>
              </w:rPr>
              <w:t>《贵州省畜禽养殖废弃物资源化利用工作方案》（黔府办发</w:t>
            </w:r>
          </w:p>
          <w:p>
            <w:pPr>
              <w:pStyle w:val="12"/>
              <w:spacing w:before="53" w:line="250" w:lineRule="exact"/>
              <w:ind w:left="109"/>
              <w:rPr>
                <w:sz w:val="21"/>
              </w:rPr>
            </w:pPr>
            <w:r>
              <w:rPr>
                <w:sz w:val="21"/>
              </w:rPr>
              <w:t>〔2017〕64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tcPr>
          <w:p>
            <w:pPr>
              <w:pStyle w:val="12"/>
              <w:spacing w:before="4"/>
              <w:rPr>
                <w:b/>
                <w:sz w:val="16"/>
              </w:rPr>
            </w:pPr>
          </w:p>
          <w:p>
            <w:pPr>
              <w:pStyle w:val="12"/>
              <w:spacing w:before="1"/>
              <w:ind w:left="514"/>
              <w:rPr>
                <w:sz w:val="21"/>
              </w:rPr>
            </w:pPr>
            <w:r>
              <w:rPr>
                <w:sz w:val="21"/>
              </w:rPr>
              <w:t>环境风险防控</w:t>
            </w:r>
          </w:p>
        </w:tc>
        <w:tc>
          <w:tcPr>
            <w:tcW w:w="11723" w:type="dxa"/>
          </w:tcPr>
          <w:p>
            <w:pPr>
              <w:pStyle w:val="12"/>
              <w:spacing w:before="4"/>
              <w:rPr>
                <w:b/>
                <w:sz w:val="16"/>
              </w:rPr>
            </w:pPr>
          </w:p>
          <w:p>
            <w:pPr>
              <w:pStyle w:val="12"/>
              <w:spacing w:before="1"/>
              <w:ind w:left="109"/>
              <w:rPr>
                <w:sz w:val="21"/>
              </w:rPr>
            </w:pPr>
            <w:r>
              <w:rPr>
                <w:sz w:val="21"/>
              </w:rPr>
              <w:t>1. 城市建成区内不得建设污染严重、影响居民生活的化工、冶金、造纸、钢铁等重污染工业项目。</w:t>
            </w:r>
          </w:p>
        </w:tc>
        <w:tc>
          <w:tcPr>
            <w:tcW w:w="5676" w:type="dxa"/>
          </w:tcPr>
          <w:p>
            <w:pPr>
              <w:pStyle w:val="12"/>
              <w:spacing w:before="49"/>
              <w:ind w:left="109"/>
              <w:rPr>
                <w:sz w:val="21"/>
              </w:rPr>
            </w:pPr>
            <w:r>
              <w:rPr>
                <w:sz w:val="21"/>
              </w:rPr>
              <w:t>《贵州省环境保护条例》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restart"/>
          </w:tcPr>
          <w:p>
            <w:pPr>
              <w:pStyle w:val="12"/>
              <w:rPr>
                <w:b/>
                <w:sz w:val="20"/>
              </w:rPr>
            </w:pPr>
          </w:p>
          <w:p>
            <w:pPr>
              <w:pStyle w:val="12"/>
              <w:spacing w:before="8"/>
              <w:rPr>
                <w:b/>
                <w:sz w:val="21"/>
              </w:rPr>
            </w:pPr>
          </w:p>
          <w:p>
            <w:pPr>
              <w:pStyle w:val="12"/>
              <w:ind w:left="302"/>
              <w:rPr>
                <w:sz w:val="21"/>
              </w:rPr>
            </w:pPr>
            <w:r>
              <w:rPr>
                <w:sz w:val="21"/>
              </w:rPr>
              <w:t>资源开发效率要求</w:t>
            </w:r>
          </w:p>
        </w:tc>
        <w:tc>
          <w:tcPr>
            <w:tcW w:w="11723" w:type="dxa"/>
          </w:tcPr>
          <w:p>
            <w:pPr>
              <w:pStyle w:val="12"/>
              <w:spacing w:before="4"/>
              <w:rPr>
                <w:b/>
                <w:sz w:val="16"/>
              </w:rPr>
            </w:pPr>
          </w:p>
          <w:p>
            <w:pPr>
              <w:pStyle w:val="12"/>
              <w:ind w:left="109"/>
              <w:rPr>
                <w:sz w:val="21"/>
              </w:rPr>
            </w:pPr>
            <w:r>
              <w:rPr>
                <w:sz w:val="21"/>
              </w:rPr>
              <w:t>1. 强化能源和水资源消耗、建设用地等总量和强度双控行动，实施最严格的耕地保护、节约用地和水资源管理制度。</w:t>
            </w:r>
          </w:p>
        </w:tc>
        <w:tc>
          <w:tcPr>
            <w:tcW w:w="5676" w:type="dxa"/>
          </w:tcPr>
          <w:p>
            <w:pPr>
              <w:pStyle w:val="12"/>
              <w:spacing w:before="3" w:line="320" w:lineRule="exact"/>
              <w:ind w:left="109" w:right="96"/>
              <w:rPr>
                <w:sz w:val="21"/>
              </w:rPr>
            </w:pPr>
            <w:r>
              <w:rPr>
                <w:sz w:val="21"/>
              </w:rPr>
              <w:t>《中共中央 国务院关于全面加强生态环境保护 坚决打好污染防治攻坚战的意见》（2018 年 6 月 16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0" w:type="dxa"/>
            <w:vMerge w:val="continue"/>
            <w:tcBorders>
              <w:top w:val="nil"/>
              <w:bottom w:val="single" w:color="000000" w:sz="4" w:space="0"/>
            </w:tcBorders>
          </w:tcPr>
          <w:p>
            <w:pPr>
              <w:rPr>
                <w:sz w:val="2"/>
                <w:szCs w:val="2"/>
              </w:rPr>
            </w:pPr>
          </w:p>
        </w:tc>
        <w:tc>
          <w:tcPr>
            <w:tcW w:w="761" w:type="dxa"/>
            <w:vMerge w:val="continue"/>
            <w:tcBorders>
              <w:top w:val="nil"/>
              <w:bottom w:val="single" w:color="000000" w:sz="4" w:space="0"/>
            </w:tcBorders>
          </w:tcPr>
          <w:p>
            <w:pPr>
              <w:rPr>
                <w:sz w:val="2"/>
                <w:szCs w:val="2"/>
              </w:rPr>
            </w:pPr>
          </w:p>
        </w:tc>
        <w:tc>
          <w:tcPr>
            <w:tcW w:w="2284" w:type="dxa"/>
            <w:gridSpan w:val="2"/>
            <w:vMerge w:val="continue"/>
            <w:tcBorders>
              <w:top w:val="nil"/>
            </w:tcBorders>
          </w:tcPr>
          <w:p>
            <w:pPr>
              <w:rPr>
                <w:sz w:val="2"/>
                <w:szCs w:val="2"/>
              </w:rPr>
            </w:pPr>
          </w:p>
        </w:tc>
        <w:tc>
          <w:tcPr>
            <w:tcW w:w="11723" w:type="dxa"/>
          </w:tcPr>
          <w:p>
            <w:pPr>
              <w:pStyle w:val="12"/>
              <w:spacing w:before="2"/>
              <w:rPr>
                <w:b/>
                <w:sz w:val="16"/>
              </w:rPr>
            </w:pPr>
          </w:p>
          <w:p>
            <w:pPr>
              <w:pStyle w:val="12"/>
              <w:ind w:left="109"/>
              <w:rPr>
                <w:sz w:val="21"/>
              </w:rPr>
            </w:pPr>
            <w:r>
              <w:rPr>
                <w:sz w:val="21"/>
              </w:rPr>
              <w:t>2. 大幅度降低重点行业和企业的能耗、物耗，推行生产者责任延伸制度。</w:t>
            </w:r>
          </w:p>
        </w:tc>
        <w:tc>
          <w:tcPr>
            <w:tcW w:w="5676" w:type="dxa"/>
          </w:tcPr>
          <w:p>
            <w:pPr>
              <w:pStyle w:val="12"/>
              <w:spacing w:line="320" w:lineRule="exact"/>
              <w:ind w:left="109" w:right="93"/>
              <w:rPr>
                <w:sz w:val="21"/>
              </w:rPr>
            </w:pPr>
            <w:r>
              <w:rPr>
                <w:sz w:val="21"/>
              </w:rPr>
              <w:t>《关于全面加强生态环境保护坚决打好污染防治攻坚战的实施意见》</w:t>
            </w:r>
          </w:p>
        </w:tc>
      </w:tr>
    </w:tbl>
    <w:p>
      <w:pPr>
        <w:spacing w:line="320" w:lineRule="exact"/>
        <w:rPr>
          <w:sz w:val="21"/>
        </w:rPr>
        <w:sectPr>
          <w:pgSz w:w="23760" w:h="16790" w:orient="landscape"/>
          <w:pgMar w:top="1080" w:right="660" w:bottom="1080" w:left="860" w:header="0" w:footer="894" w:gutter="0"/>
          <w:cols w:space="720" w:num="1"/>
        </w:sectPr>
      </w:pPr>
    </w:p>
    <w:p>
      <w:pPr>
        <w:pStyle w:val="11"/>
        <w:numPr>
          <w:ilvl w:val="1"/>
          <w:numId w:val="2"/>
        </w:numPr>
        <w:tabs>
          <w:tab w:val="left" w:pos="1216"/>
        </w:tabs>
        <w:spacing w:before="26"/>
        <w:rPr>
          <w:b/>
          <w:sz w:val="36"/>
        </w:rPr>
      </w:pPr>
      <w:bookmarkStart w:id="3" w:name="_bookmark2"/>
      <w:bookmarkEnd w:id="3"/>
      <w:r>
        <w:rPr>
          <w:b/>
          <w:sz w:val="36"/>
        </w:rPr>
        <w:t>全省大气环境总体管控要求</w:t>
      </w:r>
    </w:p>
    <w:p>
      <w:pPr>
        <w:pStyle w:val="2"/>
        <w:spacing w:before="1"/>
        <w:rPr>
          <w:b/>
          <w:sz w:val="14"/>
        </w:rPr>
      </w:pPr>
    </w:p>
    <w:p>
      <w:pPr>
        <w:pStyle w:val="9"/>
        <w:tabs>
          <w:tab w:val="left" w:pos="1307"/>
        </w:tabs>
        <w:spacing w:before="67" w:after="53"/>
        <w:ind w:left="280"/>
      </w:pPr>
      <w:r>
        <w:t>表</w:t>
      </w:r>
      <w:r>
        <w:rPr>
          <w:spacing w:val="-60"/>
        </w:rPr>
        <w:t xml:space="preserve"> </w:t>
      </w:r>
      <w:r>
        <w:t>1.3</w:t>
      </w:r>
      <w:r>
        <w:tab/>
      </w:r>
      <w:r>
        <w:t>贵州省大气环境管控普适性准入清单</w:t>
      </w:r>
    </w:p>
    <w:tbl>
      <w:tblPr>
        <w:tblStyle w:val="3"/>
        <w:tblW w:w="21181"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994"/>
        <w:gridCol w:w="1567"/>
        <w:gridCol w:w="11727"/>
        <w:gridCol w:w="5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0" w:type="dxa"/>
          </w:tcPr>
          <w:p>
            <w:pPr>
              <w:pStyle w:val="12"/>
              <w:spacing w:before="90"/>
              <w:ind w:left="263"/>
              <w:rPr>
                <w:b/>
                <w:sz w:val="21"/>
              </w:rPr>
            </w:pPr>
            <w:r>
              <w:rPr>
                <w:b/>
                <w:sz w:val="21"/>
              </w:rPr>
              <w:t>分类</w:t>
            </w:r>
          </w:p>
        </w:tc>
        <w:tc>
          <w:tcPr>
            <w:tcW w:w="2561" w:type="dxa"/>
            <w:gridSpan w:val="2"/>
          </w:tcPr>
          <w:p>
            <w:pPr>
              <w:pStyle w:val="12"/>
              <w:spacing w:before="90"/>
              <w:ind w:left="1043" w:right="1035"/>
              <w:jc w:val="center"/>
              <w:rPr>
                <w:b/>
                <w:sz w:val="21"/>
              </w:rPr>
            </w:pPr>
            <w:r>
              <w:rPr>
                <w:b/>
                <w:sz w:val="21"/>
              </w:rPr>
              <w:t>管控</w:t>
            </w:r>
          </w:p>
        </w:tc>
        <w:tc>
          <w:tcPr>
            <w:tcW w:w="11727" w:type="dxa"/>
          </w:tcPr>
          <w:p>
            <w:pPr>
              <w:pStyle w:val="12"/>
              <w:spacing w:before="90"/>
              <w:ind w:left="5414" w:right="5408"/>
              <w:jc w:val="center"/>
              <w:rPr>
                <w:b/>
                <w:sz w:val="21"/>
              </w:rPr>
            </w:pPr>
            <w:r>
              <w:rPr>
                <w:b/>
                <w:sz w:val="21"/>
              </w:rPr>
              <w:t>管控要求</w:t>
            </w:r>
          </w:p>
        </w:tc>
        <w:tc>
          <w:tcPr>
            <w:tcW w:w="5943" w:type="dxa"/>
          </w:tcPr>
          <w:p>
            <w:pPr>
              <w:pStyle w:val="12"/>
              <w:spacing w:before="80"/>
              <w:ind w:right="2329"/>
              <w:jc w:val="right"/>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0" w:type="dxa"/>
            <w:vMerge w:val="restart"/>
          </w:tcPr>
          <w:p>
            <w:pPr>
              <w:pStyle w:val="12"/>
              <w:rPr>
                <w:b/>
                <w:sz w:val="20"/>
              </w:rPr>
            </w:pPr>
          </w:p>
          <w:p>
            <w:pPr>
              <w:pStyle w:val="12"/>
              <w:spacing w:before="11"/>
              <w:rPr>
                <w:b/>
                <w:sz w:val="21"/>
              </w:rPr>
            </w:pPr>
          </w:p>
          <w:p>
            <w:pPr>
              <w:pStyle w:val="12"/>
              <w:spacing w:line="223" w:lineRule="auto"/>
              <w:ind w:left="158" w:right="151"/>
              <w:jc w:val="both"/>
              <w:rPr>
                <w:sz w:val="21"/>
              </w:rPr>
            </w:pPr>
            <w:r>
              <w:rPr>
                <w:sz w:val="21"/>
              </w:rPr>
              <w:t>大气环境优先保护区</w:t>
            </w:r>
          </w:p>
        </w:tc>
        <w:tc>
          <w:tcPr>
            <w:tcW w:w="994" w:type="dxa"/>
            <w:vMerge w:val="restart"/>
          </w:tcPr>
          <w:p>
            <w:pPr>
              <w:pStyle w:val="12"/>
              <w:rPr>
                <w:b/>
                <w:sz w:val="20"/>
              </w:rPr>
            </w:pPr>
          </w:p>
          <w:p>
            <w:pPr>
              <w:pStyle w:val="12"/>
              <w:rPr>
                <w:b/>
                <w:sz w:val="20"/>
              </w:rPr>
            </w:pPr>
          </w:p>
          <w:p>
            <w:pPr>
              <w:pStyle w:val="12"/>
              <w:spacing w:before="149" w:line="223" w:lineRule="auto"/>
              <w:ind w:left="180" w:right="172"/>
              <w:rPr>
                <w:sz w:val="21"/>
              </w:rPr>
            </w:pPr>
            <w:r>
              <w:rPr>
                <w:sz w:val="21"/>
              </w:rPr>
              <w:t>空间布局约束</w:t>
            </w:r>
          </w:p>
        </w:tc>
        <w:tc>
          <w:tcPr>
            <w:tcW w:w="1567" w:type="dxa"/>
            <w:vMerge w:val="restart"/>
          </w:tcPr>
          <w:p>
            <w:pPr>
              <w:pStyle w:val="12"/>
              <w:rPr>
                <w:b/>
                <w:sz w:val="16"/>
              </w:rPr>
            </w:pPr>
          </w:p>
          <w:p>
            <w:pPr>
              <w:pStyle w:val="12"/>
              <w:spacing w:line="223" w:lineRule="auto"/>
              <w:ind w:left="257" w:right="143" w:hanging="104"/>
              <w:rPr>
                <w:sz w:val="21"/>
              </w:rPr>
            </w:pPr>
            <w:r>
              <w:rPr>
                <w:sz w:val="21"/>
              </w:rPr>
              <w:t>禁止开发建设活动的要求</w:t>
            </w:r>
          </w:p>
        </w:tc>
        <w:tc>
          <w:tcPr>
            <w:tcW w:w="11727" w:type="dxa"/>
          </w:tcPr>
          <w:p>
            <w:pPr>
              <w:pStyle w:val="12"/>
              <w:spacing w:before="90"/>
              <w:ind w:left="108"/>
              <w:rPr>
                <w:sz w:val="21"/>
              </w:rPr>
            </w:pPr>
            <w:r>
              <w:rPr>
                <w:sz w:val="21"/>
              </w:rPr>
              <w:t>在风景名胜区内参照法律法规要求（见生态普适性要求）</w:t>
            </w:r>
          </w:p>
        </w:tc>
        <w:tc>
          <w:tcPr>
            <w:tcW w:w="5943" w:type="dxa"/>
            <w:vMerge w:val="restart"/>
          </w:tcPr>
          <w:p>
            <w:pPr>
              <w:pStyle w:val="12"/>
              <w:rPr>
                <w:b/>
                <w:sz w:val="20"/>
              </w:rPr>
            </w:pPr>
          </w:p>
          <w:p>
            <w:pPr>
              <w:pStyle w:val="12"/>
              <w:rPr>
                <w:b/>
                <w:sz w:val="20"/>
              </w:rPr>
            </w:pPr>
          </w:p>
          <w:p>
            <w:pPr>
              <w:pStyle w:val="12"/>
              <w:spacing w:before="5"/>
              <w:rPr>
                <w:b/>
                <w:sz w:val="19"/>
              </w:rPr>
            </w:pPr>
          </w:p>
          <w:p>
            <w:pPr>
              <w:pStyle w:val="12"/>
              <w:spacing w:before="1"/>
              <w:ind w:left="1921"/>
              <w:rPr>
                <w:sz w:val="21"/>
              </w:rPr>
            </w:pPr>
            <w:r>
              <w:rPr>
                <w:sz w:val="21"/>
              </w:rPr>
              <w:t>见生态普适性管控要求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90"/>
              <w:ind w:left="108"/>
              <w:rPr>
                <w:sz w:val="21"/>
              </w:rPr>
            </w:pPr>
            <w:r>
              <w:rPr>
                <w:sz w:val="21"/>
              </w:rPr>
              <w:t>在自然保护区内参照法律法规要求（见生态普适性要求）</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restart"/>
          </w:tcPr>
          <w:p>
            <w:pPr>
              <w:pStyle w:val="12"/>
              <w:spacing w:before="4"/>
              <w:rPr>
                <w:b/>
                <w:sz w:val="16"/>
              </w:rPr>
            </w:pPr>
          </w:p>
          <w:p>
            <w:pPr>
              <w:pStyle w:val="12"/>
              <w:spacing w:before="1" w:line="220" w:lineRule="auto"/>
              <w:ind w:left="362" w:right="143" w:hanging="209"/>
              <w:rPr>
                <w:sz w:val="21"/>
              </w:rPr>
            </w:pPr>
            <w:r>
              <w:rPr>
                <w:sz w:val="21"/>
              </w:rPr>
              <w:t>其他空间布局约束要求</w:t>
            </w:r>
          </w:p>
        </w:tc>
        <w:tc>
          <w:tcPr>
            <w:tcW w:w="11727" w:type="dxa"/>
          </w:tcPr>
          <w:p>
            <w:pPr>
              <w:pStyle w:val="12"/>
              <w:spacing w:before="90"/>
              <w:ind w:left="108"/>
              <w:rPr>
                <w:sz w:val="21"/>
              </w:rPr>
            </w:pPr>
            <w:r>
              <w:rPr>
                <w:sz w:val="21"/>
              </w:rPr>
              <w:t>在风景名胜区内参照法律法规要求（见生态普适性要求）</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90"/>
              <w:ind w:left="108"/>
              <w:rPr>
                <w:sz w:val="21"/>
              </w:rPr>
            </w:pPr>
            <w:r>
              <w:rPr>
                <w:sz w:val="21"/>
              </w:rPr>
              <w:t>在自然保护区内参照法律法规要求（见生态普适性要求）</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50"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5" w:line="223" w:lineRule="auto"/>
              <w:ind w:left="158" w:right="151"/>
              <w:jc w:val="center"/>
              <w:rPr>
                <w:sz w:val="21"/>
              </w:rPr>
            </w:pPr>
            <w:r>
              <w:rPr>
                <w:spacing w:val="-7"/>
                <w:sz w:val="21"/>
              </w:rPr>
              <w:t>大气环境受体敏感重点管控区，大气环境布局敏感重点</w:t>
            </w:r>
            <w:r>
              <w:rPr>
                <w:sz w:val="21"/>
              </w:rPr>
              <w:t xml:space="preserve">管控 </w:t>
            </w:r>
            <w:r>
              <w:rPr>
                <w:spacing w:val="-7"/>
                <w:sz w:val="21"/>
              </w:rPr>
              <w:t>区、大气环境弱扩散重点管</w:t>
            </w:r>
            <w:r>
              <w:rPr>
                <w:sz w:val="21"/>
              </w:rPr>
              <w:t>控区</w:t>
            </w:r>
          </w:p>
        </w:tc>
        <w:tc>
          <w:tcPr>
            <w:tcW w:w="99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3" w:line="223" w:lineRule="auto"/>
              <w:ind w:left="180" w:right="172"/>
              <w:rPr>
                <w:sz w:val="21"/>
              </w:rPr>
            </w:pPr>
            <w:r>
              <w:rPr>
                <w:sz w:val="21"/>
              </w:rPr>
              <w:t>空间布局约束</w:t>
            </w:r>
          </w:p>
        </w:tc>
        <w:tc>
          <w:tcPr>
            <w:tcW w:w="1567"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30" w:line="220" w:lineRule="auto"/>
              <w:ind w:left="257" w:right="143" w:hanging="104"/>
              <w:rPr>
                <w:sz w:val="21"/>
              </w:rPr>
            </w:pPr>
            <w:r>
              <w:rPr>
                <w:sz w:val="21"/>
              </w:rPr>
              <w:t>禁止开发建设活动的要求</w:t>
            </w:r>
          </w:p>
        </w:tc>
        <w:tc>
          <w:tcPr>
            <w:tcW w:w="11727" w:type="dxa"/>
          </w:tcPr>
          <w:p>
            <w:pPr>
              <w:pStyle w:val="12"/>
              <w:spacing w:before="104" w:line="223" w:lineRule="auto"/>
              <w:ind w:left="108" w:right="96"/>
              <w:rPr>
                <w:sz w:val="21"/>
              </w:rPr>
            </w:pPr>
            <w:r>
              <w:rPr>
                <w:spacing w:val="-8"/>
                <w:sz w:val="21"/>
              </w:rPr>
              <w:t>禁止在城市规划区内新建改建扩建水泥、煤化工、燃煤火电、焦化、金属冶炼、陶瓷等大气污染严重的产业项目。禁止引进严</w:t>
            </w:r>
            <w:r>
              <w:rPr>
                <w:spacing w:val="-5"/>
                <w:sz w:val="21"/>
              </w:rPr>
              <w:t>重污染大气环境的落后生产工艺、落后设备。</w:t>
            </w:r>
          </w:p>
        </w:tc>
        <w:tc>
          <w:tcPr>
            <w:tcW w:w="5943" w:type="dxa"/>
          </w:tcPr>
          <w:p>
            <w:pPr>
              <w:pStyle w:val="12"/>
              <w:rPr>
                <w:b/>
                <w:sz w:val="16"/>
              </w:rPr>
            </w:pPr>
          </w:p>
          <w:p>
            <w:pPr>
              <w:pStyle w:val="12"/>
              <w:ind w:right="2358"/>
              <w:jc w:val="right"/>
              <w:rPr>
                <w:sz w:val="21"/>
              </w:rPr>
            </w:pPr>
            <w:r>
              <w:rPr>
                <w:sz w:val="21"/>
              </w:rPr>
              <w:t>《贵州省大气污染防治条例》（2018）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90" w:line="259" w:lineRule="exact"/>
              <w:ind w:left="108"/>
              <w:rPr>
                <w:sz w:val="21"/>
              </w:rPr>
            </w:pPr>
            <w:r>
              <w:rPr>
                <w:spacing w:val="-24"/>
                <w:sz w:val="21"/>
              </w:rPr>
              <w:t xml:space="preserve">在 </w:t>
            </w:r>
            <w:r>
              <w:rPr>
                <w:sz w:val="21"/>
              </w:rPr>
              <w:t>2018</w:t>
            </w:r>
            <w:r>
              <w:rPr>
                <w:spacing w:val="-12"/>
                <w:sz w:val="21"/>
              </w:rPr>
              <w:t xml:space="preserve"> 年底重点区域淘汰每小时 </w:t>
            </w:r>
            <w:r>
              <w:rPr>
                <w:sz w:val="21"/>
              </w:rPr>
              <w:t>20</w:t>
            </w:r>
            <w:r>
              <w:rPr>
                <w:spacing w:val="-11"/>
                <w:sz w:val="21"/>
              </w:rPr>
              <w:t xml:space="preserve"> 蒸吨以下燃煤锅炉基础上，启动每小时 </w:t>
            </w:r>
            <w:r>
              <w:rPr>
                <w:sz w:val="21"/>
              </w:rPr>
              <w:t>35</w:t>
            </w:r>
            <w:r>
              <w:rPr>
                <w:spacing w:val="-9"/>
                <w:sz w:val="21"/>
              </w:rPr>
              <w:t xml:space="preserve"> 蒸吨以下燃煤锅炉淘汰工作，其余城市建成区</w:t>
            </w:r>
          </w:p>
          <w:p>
            <w:pPr>
              <w:pStyle w:val="12"/>
              <w:spacing w:line="259" w:lineRule="exact"/>
              <w:ind w:left="108"/>
              <w:rPr>
                <w:sz w:val="21"/>
              </w:rPr>
            </w:pPr>
            <w:r>
              <w:rPr>
                <w:sz w:val="21"/>
              </w:rPr>
              <w:t>逐步淘汰每小时 10 蒸吨以下燃煤锅炉。</w:t>
            </w:r>
          </w:p>
        </w:tc>
        <w:tc>
          <w:tcPr>
            <w:tcW w:w="5943" w:type="dxa"/>
            <w:vMerge w:val="restart"/>
          </w:tcPr>
          <w:p>
            <w:pPr>
              <w:pStyle w:val="12"/>
              <w:rPr>
                <w:b/>
                <w:sz w:val="20"/>
              </w:rPr>
            </w:pPr>
          </w:p>
          <w:p>
            <w:pPr>
              <w:pStyle w:val="12"/>
              <w:spacing w:before="9"/>
              <w:rPr>
                <w:b/>
                <w:sz w:val="25"/>
              </w:rPr>
            </w:pPr>
          </w:p>
          <w:p>
            <w:pPr>
              <w:pStyle w:val="12"/>
              <w:spacing w:line="196" w:lineRule="auto"/>
              <w:ind w:left="109" w:right="149"/>
              <w:rPr>
                <w:sz w:val="21"/>
              </w:rPr>
            </w:pPr>
            <w:r>
              <w:rPr>
                <w:sz w:val="21"/>
              </w:rPr>
              <w:t>贵州省人民政府关于印发《贵州省打赢蓝天保卫战三年行动计划的通知》黔府发〔2018〕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92"/>
              <w:ind w:left="108"/>
              <w:rPr>
                <w:sz w:val="21"/>
              </w:rPr>
            </w:pPr>
            <w:r>
              <w:rPr>
                <w:sz w:val="21"/>
              </w:rPr>
              <w:t>2020 年，全省县级及以上城市全部淘汰 10 蒸吨及以下燃煤锅炉，基本淘汰燃煤的茶水炉、经营性炉灶、储粮烘干设备等。</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90" w:line="259" w:lineRule="exact"/>
              <w:ind w:left="108"/>
              <w:rPr>
                <w:sz w:val="21"/>
              </w:rPr>
            </w:pPr>
            <w:r>
              <w:rPr>
                <w:spacing w:val="-6"/>
                <w:sz w:val="21"/>
              </w:rPr>
              <w:t xml:space="preserve">全省设市城市建成区禁止新建每小时 </w:t>
            </w:r>
            <w:r>
              <w:rPr>
                <w:sz w:val="21"/>
              </w:rPr>
              <w:t>75</w:t>
            </w:r>
            <w:r>
              <w:rPr>
                <w:spacing w:val="-12"/>
                <w:sz w:val="21"/>
              </w:rPr>
              <w:t xml:space="preserve"> 蒸吨及以下燃煤锅炉，县级城市建成区禁止新建每小时 </w:t>
            </w:r>
            <w:r>
              <w:rPr>
                <w:sz w:val="21"/>
              </w:rPr>
              <w:t>35</w:t>
            </w:r>
            <w:r>
              <w:rPr>
                <w:spacing w:val="-10"/>
                <w:sz w:val="21"/>
              </w:rPr>
              <w:t xml:space="preserve"> 蒸吨及以下燃煤锅炉，其他</w:t>
            </w:r>
          </w:p>
          <w:p>
            <w:pPr>
              <w:pStyle w:val="12"/>
              <w:spacing w:line="259" w:lineRule="exact"/>
              <w:ind w:left="108"/>
              <w:rPr>
                <w:sz w:val="21"/>
              </w:rPr>
            </w:pPr>
            <w:r>
              <w:rPr>
                <w:sz w:val="21"/>
              </w:rPr>
              <w:t>区域禁止新建每小时 10 蒸吨以下燃煤锅炉。</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92"/>
              <w:ind w:left="108"/>
              <w:rPr>
                <w:sz w:val="21"/>
              </w:rPr>
            </w:pPr>
            <w:r>
              <w:rPr>
                <w:sz w:val="21"/>
              </w:rPr>
              <w:t>禁止在城市规划区内新建改建扩建水泥、煤化工、燃煤火电、焦化、金属冶炼、陶瓷等大气污染严重的产业项目。</w:t>
            </w:r>
          </w:p>
        </w:tc>
        <w:tc>
          <w:tcPr>
            <w:tcW w:w="5943" w:type="dxa"/>
          </w:tcPr>
          <w:p>
            <w:pPr>
              <w:pStyle w:val="12"/>
              <w:spacing w:before="157"/>
              <w:ind w:right="2358"/>
              <w:jc w:val="right"/>
              <w:rPr>
                <w:sz w:val="21"/>
              </w:rPr>
            </w:pPr>
            <w:r>
              <w:rPr>
                <w:sz w:val="21"/>
              </w:rPr>
              <w:t>《贵州省大气污染防治条例》（2018）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4" w:line="223" w:lineRule="auto"/>
              <w:ind w:left="108" w:right="97"/>
              <w:rPr>
                <w:sz w:val="21"/>
              </w:rPr>
            </w:pPr>
            <w:r>
              <w:rPr>
                <w:spacing w:val="-5"/>
                <w:sz w:val="21"/>
              </w:rPr>
              <w:t>县级及以上城市建成区要划定露天烧烤布置区域和时段或全面禁止室外露天烧烤，坚决取缔不符合规定区域内的餐饮、露天烧烤。</w:t>
            </w:r>
          </w:p>
        </w:tc>
        <w:tc>
          <w:tcPr>
            <w:tcW w:w="5943" w:type="dxa"/>
          </w:tcPr>
          <w:p>
            <w:pPr>
              <w:pStyle w:val="12"/>
              <w:spacing w:before="132" w:line="196" w:lineRule="auto"/>
              <w:ind w:left="109" w:right="149"/>
              <w:rPr>
                <w:sz w:val="21"/>
              </w:rPr>
            </w:pPr>
            <w:r>
              <w:rPr>
                <w:sz w:val="21"/>
              </w:rPr>
              <w:t>贵州省人民政府关于印发《贵州省打赢蓝天保卫战三年行动计划的通知》黔府发〔2018〕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numPr>
                <w:ilvl w:val="0"/>
                <w:numId w:val="18"/>
              </w:numPr>
              <w:tabs>
                <w:tab w:val="left" w:pos="268"/>
              </w:tabs>
              <w:spacing w:before="104" w:line="223" w:lineRule="auto"/>
              <w:ind w:right="104" w:firstLine="0"/>
              <w:rPr>
                <w:sz w:val="21"/>
              </w:rPr>
            </w:pPr>
            <w:r>
              <w:rPr>
                <w:spacing w:val="-3"/>
                <w:sz w:val="21"/>
              </w:rPr>
              <w:t>禁止在居民住宅楼、未配套设立专用烟道的商住综合楼以及商住综合楼内与居住层相邻的商业楼层内新建、改建、扩建产生油烟、异味、废气的餐饮服务项目。</w:t>
            </w:r>
          </w:p>
          <w:p>
            <w:pPr>
              <w:pStyle w:val="12"/>
              <w:numPr>
                <w:ilvl w:val="0"/>
                <w:numId w:val="18"/>
              </w:numPr>
              <w:tabs>
                <w:tab w:val="left" w:pos="268"/>
              </w:tabs>
              <w:spacing w:before="104" w:line="220" w:lineRule="auto"/>
              <w:ind w:right="104" w:firstLine="0"/>
              <w:rPr>
                <w:sz w:val="21"/>
              </w:rPr>
            </w:pPr>
            <w:r>
              <w:rPr>
                <w:spacing w:val="-3"/>
                <w:sz w:val="21"/>
              </w:rPr>
              <w:t>禁止在人口集中地区和其他依法需要特殊保护的区域内焚烧沥青、油毡、橡胶、塑料、皮革、垃圾以及其他产生有毒有害烟尘和恶臭气体的物质。</w:t>
            </w:r>
          </w:p>
          <w:p>
            <w:pPr>
              <w:pStyle w:val="12"/>
              <w:numPr>
                <w:ilvl w:val="0"/>
                <w:numId w:val="18"/>
              </w:numPr>
              <w:tabs>
                <w:tab w:val="left" w:pos="268"/>
              </w:tabs>
              <w:spacing w:before="86"/>
              <w:ind w:left="267"/>
              <w:rPr>
                <w:sz w:val="21"/>
              </w:rPr>
            </w:pPr>
            <w:r>
              <w:rPr>
                <w:spacing w:val="-3"/>
                <w:sz w:val="21"/>
              </w:rPr>
              <w:t>禁止在人口集中地区对树木、花草喷洒剧毒、高毒农药。</w:t>
            </w:r>
          </w:p>
        </w:tc>
        <w:tc>
          <w:tcPr>
            <w:tcW w:w="5943" w:type="dxa"/>
          </w:tcPr>
          <w:p>
            <w:pPr>
              <w:pStyle w:val="12"/>
              <w:rPr>
                <w:b/>
                <w:sz w:val="20"/>
              </w:rPr>
            </w:pPr>
          </w:p>
          <w:p>
            <w:pPr>
              <w:pStyle w:val="12"/>
              <w:rPr>
                <w:b/>
                <w:sz w:val="20"/>
              </w:rPr>
            </w:pPr>
          </w:p>
          <w:p>
            <w:pPr>
              <w:pStyle w:val="12"/>
              <w:spacing w:before="170"/>
              <w:ind w:right="2358"/>
              <w:jc w:val="right"/>
              <w:rPr>
                <w:sz w:val="21"/>
              </w:rPr>
            </w:pPr>
            <w:r>
              <w:rPr>
                <w:sz w:val="21"/>
              </w:rPr>
              <w:t>《贵州省大气污染防治条例》（2018）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4" w:line="223" w:lineRule="auto"/>
              <w:ind w:left="108" w:right="58"/>
              <w:rPr>
                <w:sz w:val="21"/>
              </w:rPr>
            </w:pPr>
            <w:r>
              <w:rPr>
                <w:spacing w:val="-3"/>
                <w:sz w:val="21"/>
              </w:rPr>
              <w:t>已划定的高污染燃料禁燃区，逐步向周边具备条件的街道</w:t>
            </w:r>
            <w:r>
              <w:rPr>
                <w:sz w:val="21"/>
              </w:rPr>
              <w:t>（</w:t>
            </w:r>
            <w:r>
              <w:rPr>
                <w:spacing w:val="-3"/>
                <w:sz w:val="21"/>
              </w:rPr>
              <w:t>镇</w:t>
            </w:r>
            <w:r>
              <w:rPr>
                <w:spacing w:val="-106"/>
                <w:sz w:val="21"/>
              </w:rPr>
              <w:t>）</w:t>
            </w:r>
            <w:r>
              <w:rPr>
                <w:spacing w:val="-3"/>
                <w:sz w:val="21"/>
              </w:rPr>
              <w:t>、社区延伸，扩大禁燃区范围。在禁燃区内，禁止销售、燃用高污染燃料；禁止改建、扩建燃用高污染燃料的设施。已建成的，应当限期改用天然气、液化石油气、电或者其他清洁能源。</w:t>
            </w:r>
          </w:p>
        </w:tc>
        <w:tc>
          <w:tcPr>
            <w:tcW w:w="5943"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15"/>
              </w:rPr>
            </w:pPr>
          </w:p>
          <w:p>
            <w:pPr>
              <w:pStyle w:val="12"/>
              <w:spacing w:line="194" w:lineRule="auto"/>
              <w:ind w:left="109" w:right="149"/>
              <w:rPr>
                <w:sz w:val="21"/>
              </w:rPr>
            </w:pPr>
            <w:r>
              <w:rPr>
                <w:sz w:val="21"/>
              </w:rPr>
              <w:t>贵州省人民政府关于印发《贵州省打赢蓝天保卫战三年行动计划的通知》黔府发〔2018〕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tcPr>
          <w:p>
            <w:pPr>
              <w:pStyle w:val="12"/>
              <w:spacing w:before="157" w:line="220" w:lineRule="auto"/>
              <w:ind w:left="257" w:right="143" w:hanging="104"/>
              <w:rPr>
                <w:sz w:val="21"/>
              </w:rPr>
            </w:pPr>
            <w:r>
              <w:rPr>
                <w:sz w:val="21"/>
              </w:rPr>
              <w:t>限制开发建设活动的要求</w:t>
            </w:r>
          </w:p>
        </w:tc>
        <w:tc>
          <w:tcPr>
            <w:tcW w:w="11727" w:type="dxa"/>
          </w:tcPr>
          <w:p>
            <w:pPr>
              <w:pStyle w:val="12"/>
              <w:numPr>
                <w:ilvl w:val="0"/>
                <w:numId w:val="19"/>
              </w:numPr>
              <w:tabs>
                <w:tab w:val="left" w:pos="321"/>
              </w:tabs>
              <w:spacing w:before="90"/>
              <w:ind w:right="-15"/>
              <w:rPr>
                <w:sz w:val="21"/>
              </w:rPr>
            </w:pPr>
            <w:r>
              <w:rPr>
                <w:spacing w:val="-13"/>
                <w:sz w:val="21"/>
              </w:rPr>
              <w:t>严格控制高耗能、高污染行业新增产能，新、改、扩建项目要实行产能等量或减量置换。严格控制外送燃煤电厂电源点建设。</w:t>
            </w:r>
          </w:p>
          <w:p>
            <w:pPr>
              <w:pStyle w:val="12"/>
              <w:numPr>
                <w:ilvl w:val="0"/>
                <w:numId w:val="19"/>
              </w:numPr>
              <w:tabs>
                <w:tab w:val="left" w:pos="321"/>
              </w:tabs>
              <w:spacing w:before="79"/>
              <w:rPr>
                <w:sz w:val="21"/>
              </w:rPr>
            </w:pPr>
            <w:r>
              <w:rPr>
                <w:spacing w:val="-3"/>
                <w:sz w:val="21"/>
              </w:rPr>
              <w:t>严格燃放烟花爆竹管理，逐步扩大禁放区域和限放区域范围。</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tcPr>
          <w:p>
            <w:pPr>
              <w:pStyle w:val="12"/>
              <w:spacing w:before="155" w:line="223" w:lineRule="auto"/>
              <w:ind w:left="108" w:right="189"/>
              <w:rPr>
                <w:sz w:val="21"/>
              </w:rPr>
            </w:pPr>
            <w:r>
              <w:rPr>
                <w:sz w:val="21"/>
              </w:rPr>
              <w:t>其他空间布局约束要求</w:t>
            </w:r>
          </w:p>
        </w:tc>
        <w:tc>
          <w:tcPr>
            <w:tcW w:w="11727" w:type="dxa"/>
          </w:tcPr>
          <w:p>
            <w:pPr>
              <w:pStyle w:val="12"/>
              <w:numPr>
                <w:ilvl w:val="0"/>
                <w:numId w:val="20"/>
              </w:numPr>
              <w:tabs>
                <w:tab w:val="left" w:pos="321"/>
              </w:tabs>
              <w:spacing w:before="90"/>
              <w:rPr>
                <w:sz w:val="21"/>
              </w:rPr>
            </w:pPr>
            <w:r>
              <w:rPr>
                <w:spacing w:val="-3"/>
                <w:sz w:val="21"/>
              </w:rPr>
              <w:t>禁止建设高污染、高能耗项目。</w:t>
            </w:r>
          </w:p>
          <w:p>
            <w:pPr>
              <w:pStyle w:val="12"/>
              <w:numPr>
                <w:ilvl w:val="0"/>
                <w:numId w:val="20"/>
              </w:numPr>
              <w:tabs>
                <w:tab w:val="left" w:pos="321"/>
              </w:tabs>
              <w:spacing w:before="81"/>
              <w:rPr>
                <w:sz w:val="21"/>
              </w:rPr>
            </w:pPr>
            <w:r>
              <w:rPr>
                <w:spacing w:val="-3"/>
                <w:sz w:val="21"/>
              </w:rPr>
              <w:t>禁止新建、扩建、改建以燃煤、重油、渣油为燃料的锅炉、窑炉、导热油炉。</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50" w:type="dxa"/>
            <w:vMerge w:val="continue"/>
            <w:tcBorders>
              <w:top w:val="nil"/>
            </w:tcBorders>
          </w:tcPr>
          <w:p>
            <w:pPr>
              <w:rPr>
                <w:sz w:val="2"/>
                <w:szCs w:val="2"/>
              </w:rPr>
            </w:pPr>
          </w:p>
        </w:tc>
        <w:tc>
          <w:tcPr>
            <w:tcW w:w="994" w:type="dxa"/>
            <w:vMerge w:val="restart"/>
          </w:tcPr>
          <w:p>
            <w:pPr>
              <w:pStyle w:val="12"/>
              <w:rPr>
                <w:b/>
                <w:sz w:val="20"/>
              </w:rPr>
            </w:pPr>
          </w:p>
          <w:p>
            <w:pPr>
              <w:pStyle w:val="12"/>
              <w:rPr>
                <w:b/>
                <w:sz w:val="20"/>
              </w:rPr>
            </w:pPr>
          </w:p>
          <w:p>
            <w:pPr>
              <w:pStyle w:val="12"/>
              <w:spacing w:before="10"/>
              <w:rPr>
                <w:b/>
                <w:sz w:val="28"/>
              </w:rPr>
            </w:pPr>
          </w:p>
          <w:p>
            <w:pPr>
              <w:pStyle w:val="12"/>
              <w:spacing w:before="1" w:line="223" w:lineRule="auto"/>
              <w:ind w:left="180" w:right="172"/>
              <w:jc w:val="center"/>
              <w:rPr>
                <w:sz w:val="21"/>
              </w:rPr>
            </w:pPr>
            <w:r>
              <w:rPr>
                <w:sz w:val="21"/>
              </w:rPr>
              <w:t>污染物排放管控</w:t>
            </w:r>
          </w:p>
        </w:tc>
        <w:tc>
          <w:tcPr>
            <w:tcW w:w="1567" w:type="dxa"/>
          </w:tcPr>
          <w:p>
            <w:pPr>
              <w:pStyle w:val="12"/>
              <w:spacing w:before="104" w:line="223" w:lineRule="auto"/>
              <w:ind w:left="108" w:right="189"/>
              <w:jc w:val="both"/>
              <w:rPr>
                <w:sz w:val="21"/>
              </w:rPr>
            </w:pPr>
            <w:r>
              <w:rPr>
                <w:sz w:val="21"/>
              </w:rPr>
              <w:t>燃煤和其他能源大气污染控制要求</w:t>
            </w:r>
          </w:p>
        </w:tc>
        <w:tc>
          <w:tcPr>
            <w:tcW w:w="11727" w:type="dxa"/>
          </w:tcPr>
          <w:p>
            <w:pPr>
              <w:pStyle w:val="12"/>
              <w:spacing w:before="11"/>
              <w:rPr>
                <w:b/>
                <w:sz w:val="17"/>
              </w:rPr>
            </w:pPr>
          </w:p>
          <w:p>
            <w:pPr>
              <w:pStyle w:val="12"/>
              <w:spacing w:line="223" w:lineRule="auto"/>
              <w:ind w:left="108" w:right="55"/>
              <w:rPr>
                <w:sz w:val="21"/>
              </w:rPr>
            </w:pPr>
            <w:r>
              <w:rPr>
                <w:sz w:val="21"/>
              </w:rPr>
              <w:t>扩大城市高污染燃料禁燃区范围，逐步由城市建成区扩展到近郊。城市建成区划定和调整高污染燃料禁燃区，并向社会公开， 加强散煤燃烧和烟花爆竹管控，禁止区内禁止销售使用煤炭、石油焦等高污染燃料。</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tcPr>
          <w:p>
            <w:pPr>
              <w:pStyle w:val="12"/>
              <w:rPr>
                <w:b/>
                <w:sz w:val="20"/>
              </w:rPr>
            </w:pPr>
          </w:p>
          <w:p>
            <w:pPr>
              <w:pStyle w:val="12"/>
              <w:spacing w:before="8"/>
              <w:rPr>
                <w:b/>
                <w:sz w:val="21"/>
              </w:rPr>
            </w:pPr>
          </w:p>
          <w:p>
            <w:pPr>
              <w:pStyle w:val="12"/>
              <w:spacing w:line="220" w:lineRule="auto"/>
              <w:ind w:left="108" w:right="189"/>
              <w:rPr>
                <w:sz w:val="21"/>
              </w:rPr>
            </w:pPr>
            <w:r>
              <w:rPr>
                <w:sz w:val="21"/>
              </w:rPr>
              <w:t>工业废气污染控制要求</w:t>
            </w:r>
          </w:p>
        </w:tc>
        <w:tc>
          <w:tcPr>
            <w:tcW w:w="11727" w:type="dxa"/>
          </w:tcPr>
          <w:p>
            <w:pPr>
              <w:pStyle w:val="12"/>
              <w:numPr>
                <w:ilvl w:val="0"/>
                <w:numId w:val="21"/>
              </w:numPr>
              <w:tabs>
                <w:tab w:val="left" w:pos="321"/>
              </w:tabs>
              <w:spacing w:before="107" w:line="223" w:lineRule="auto"/>
              <w:ind w:right="96" w:firstLine="0"/>
              <w:jc w:val="both"/>
              <w:rPr>
                <w:sz w:val="21"/>
              </w:rPr>
            </w:pPr>
            <w:r>
              <w:rPr>
                <w:spacing w:val="-8"/>
                <w:sz w:val="21"/>
              </w:rPr>
              <w:t>持续推进工业重点行业治污减排行动，实现污染源全面达标排放，监督水泥、焦化、钢铁、化工等重点行业企业稳定达标排放，未达标排放的企业一律依法停产整治。按照“一厂一档”的要求，建立污染源企业台账，加强水泥、焦化、钢铁、化工等</w:t>
            </w:r>
            <w:r>
              <w:rPr>
                <w:spacing w:val="-5"/>
                <w:sz w:val="21"/>
              </w:rPr>
              <w:t>企业大气污染物排放监控，加大超标处罚力度。</w:t>
            </w:r>
          </w:p>
          <w:p>
            <w:pPr>
              <w:pStyle w:val="12"/>
              <w:numPr>
                <w:ilvl w:val="0"/>
                <w:numId w:val="21"/>
              </w:numPr>
              <w:tabs>
                <w:tab w:val="left" w:pos="321"/>
              </w:tabs>
              <w:spacing w:before="99" w:line="223" w:lineRule="auto"/>
              <w:ind w:right="97" w:firstLine="0"/>
              <w:rPr>
                <w:sz w:val="21"/>
              </w:rPr>
            </w:pPr>
            <w:r>
              <w:rPr>
                <w:spacing w:val="-6"/>
                <w:sz w:val="21"/>
              </w:rPr>
              <w:t>强化工业企业无组织排放管控，开展钢铁、建材、有色、火电、焦化、铸造等重点行业及燃煤锅炉无组织排放排查，建立管</w:t>
            </w:r>
            <w:r>
              <w:rPr>
                <w:spacing w:val="-4"/>
                <w:sz w:val="21"/>
              </w:rPr>
              <w:t>理台账，对物料(含废渣)运输、装卸、储存、转移和工艺过程等无组织排放实施深度治理。</w:t>
            </w:r>
          </w:p>
        </w:tc>
        <w:tc>
          <w:tcPr>
            <w:tcW w:w="5943" w:type="dxa"/>
            <w:vMerge w:val="continue"/>
            <w:tcBorders>
              <w:top w:val="nil"/>
            </w:tcBorders>
          </w:tcPr>
          <w:p>
            <w:pPr>
              <w:rPr>
                <w:sz w:val="2"/>
                <w:szCs w:val="2"/>
              </w:rPr>
            </w:pPr>
          </w:p>
        </w:tc>
      </w:tr>
    </w:tbl>
    <w:p>
      <w:pPr>
        <w:rPr>
          <w:sz w:val="2"/>
          <w:szCs w:val="2"/>
        </w:rPr>
        <w:sectPr>
          <w:pgSz w:w="23760" w:h="16790" w:orient="landscape"/>
          <w:pgMar w:top="1060" w:right="660" w:bottom="1080" w:left="860" w:header="0" w:footer="894" w:gutter="0"/>
          <w:cols w:space="720" w:num="1"/>
        </w:sectPr>
      </w:pPr>
    </w:p>
    <w:tbl>
      <w:tblPr>
        <w:tblStyle w:val="3"/>
        <w:tblW w:w="21181"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994"/>
        <w:gridCol w:w="1567"/>
        <w:gridCol w:w="11727"/>
        <w:gridCol w:w="5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0" w:type="dxa"/>
          </w:tcPr>
          <w:p>
            <w:pPr>
              <w:pStyle w:val="12"/>
              <w:spacing w:before="92"/>
              <w:ind w:left="263"/>
              <w:rPr>
                <w:b/>
                <w:sz w:val="21"/>
              </w:rPr>
            </w:pPr>
            <w:r>
              <w:rPr>
                <w:b/>
                <w:sz w:val="21"/>
              </w:rPr>
              <w:t>分类</w:t>
            </w:r>
          </w:p>
        </w:tc>
        <w:tc>
          <w:tcPr>
            <w:tcW w:w="2561" w:type="dxa"/>
            <w:gridSpan w:val="2"/>
          </w:tcPr>
          <w:p>
            <w:pPr>
              <w:pStyle w:val="12"/>
              <w:spacing w:before="92"/>
              <w:ind w:left="1043" w:right="1035"/>
              <w:jc w:val="center"/>
              <w:rPr>
                <w:b/>
                <w:sz w:val="21"/>
              </w:rPr>
            </w:pPr>
            <w:r>
              <w:rPr>
                <w:b/>
                <w:sz w:val="21"/>
              </w:rPr>
              <w:t>管控</w:t>
            </w:r>
          </w:p>
        </w:tc>
        <w:tc>
          <w:tcPr>
            <w:tcW w:w="11727" w:type="dxa"/>
          </w:tcPr>
          <w:p>
            <w:pPr>
              <w:pStyle w:val="12"/>
              <w:spacing w:before="92"/>
              <w:ind w:left="5414" w:right="5408"/>
              <w:jc w:val="center"/>
              <w:rPr>
                <w:b/>
                <w:sz w:val="21"/>
              </w:rPr>
            </w:pPr>
            <w:r>
              <w:rPr>
                <w:b/>
                <w:sz w:val="21"/>
              </w:rPr>
              <w:t>管控要求</w:t>
            </w:r>
          </w:p>
        </w:tc>
        <w:tc>
          <w:tcPr>
            <w:tcW w:w="5943" w:type="dxa"/>
          </w:tcPr>
          <w:p>
            <w:pPr>
              <w:pStyle w:val="12"/>
              <w:spacing w:before="82"/>
              <w:ind w:left="2313" w:right="2306"/>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950" w:type="dxa"/>
          </w:tcPr>
          <w:p>
            <w:pPr>
              <w:pStyle w:val="12"/>
              <w:rPr>
                <w:rFonts w:ascii="Times New Roman"/>
                <w:sz w:val="20"/>
              </w:rPr>
            </w:pPr>
          </w:p>
        </w:tc>
        <w:tc>
          <w:tcPr>
            <w:tcW w:w="994" w:type="dxa"/>
          </w:tcPr>
          <w:p>
            <w:pPr>
              <w:pStyle w:val="12"/>
              <w:rPr>
                <w:rFonts w:ascii="Times New Roman"/>
                <w:sz w:val="20"/>
              </w:rPr>
            </w:pPr>
          </w:p>
        </w:tc>
        <w:tc>
          <w:tcPr>
            <w:tcW w:w="1567" w:type="dxa"/>
          </w:tcPr>
          <w:p>
            <w:pPr>
              <w:pStyle w:val="12"/>
              <w:spacing w:before="11"/>
              <w:rPr>
                <w:b/>
                <w:sz w:val="17"/>
              </w:rPr>
            </w:pPr>
          </w:p>
          <w:p>
            <w:pPr>
              <w:pStyle w:val="12"/>
              <w:spacing w:before="1" w:line="223" w:lineRule="auto"/>
              <w:ind w:left="108" w:right="189"/>
              <w:rPr>
                <w:sz w:val="21"/>
              </w:rPr>
            </w:pPr>
            <w:r>
              <w:rPr>
                <w:sz w:val="21"/>
              </w:rPr>
              <w:t>扬尘污染控制要求</w:t>
            </w:r>
          </w:p>
        </w:tc>
        <w:tc>
          <w:tcPr>
            <w:tcW w:w="11727" w:type="dxa"/>
          </w:tcPr>
          <w:p>
            <w:pPr>
              <w:pStyle w:val="12"/>
              <w:spacing w:before="105" w:line="223" w:lineRule="auto"/>
              <w:ind w:left="108" w:right="96"/>
              <w:jc w:val="both"/>
              <w:rPr>
                <w:sz w:val="21"/>
              </w:rPr>
            </w:pPr>
            <w:r>
              <w:rPr>
                <w:spacing w:val="-8"/>
                <w:sz w:val="21"/>
              </w:rPr>
              <w:t>县城及以上城市建成区建筑施工工地要做到工地周边围挡、物料堆放覆盖、土方开挖湿法作业、路面硬化、出入车辆清洗、渣</w:t>
            </w:r>
            <w:r>
              <w:rPr>
                <w:spacing w:val="-5"/>
                <w:sz w:val="21"/>
              </w:rPr>
              <w:t>土车辆密闭运输“六个百分之百”，</w:t>
            </w:r>
            <w:r>
              <w:rPr>
                <w:sz w:val="21"/>
              </w:rPr>
              <w:t>1</w:t>
            </w:r>
            <w:r>
              <w:rPr>
                <w:spacing w:val="-5"/>
                <w:sz w:val="21"/>
              </w:rPr>
              <w:t xml:space="preserve"> 个月以上暂不施工的裸露工地要采取覆盖或绿化等防尘措施，不覆盖的裸露工地和施工</w:t>
            </w:r>
            <w:r>
              <w:rPr>
                <w:spacing w:val="-4"/>
                <w:sz w:val="21"/>
              </w:rPr>
              <w:t>作业面要采取喷淋等措施防止扬尘产生。</w:t>
            </w:r>
          </w:p>
        </w:tc>
        <w:tc>
          <w:tcPr>
            <w:tcW w:w="5943"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8"/>
              </w:rPr>
            </w:pPr>
          </w:p>
          <w:p>
            <w:pPr>
              <w:pStyle w:val="12"/>
              <w:spacing w:line="194" w:lineRule="auto"/>
              <w:ind w:left="109" w:right="150"/>
              <w:rPr>
                <w:sz w:val="21"/>
              </w:rPr>
            </w:pPr>
            <w:r>
              <w:rPr>
                <w:sz w:val="21"/>
              </w:rPr>
              <w:t>贵州省人民政府关于印发《贵州省打赢蓝天保卫战三年行动计划的通知》黔府发〔2018〕26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50"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59" w:line="213" w:lineRule="auto"/>
              <w:ind w:left="107" w:right="201"/>
              <w:jc w:val="both"/>
              <w:rPr>
                <w:sz w:val="21"/>
              </w:rPr>
            </w:pPr>
            <w:r>
              <w:rPr>
                <w:sz w:val="21"/>
              </w:rPr>
              <w:t>大气环境受体敏感重点管控区</w:t>
            </w:r>
          </w:p>
        </w:tc>
        <w:tc>
          <w:tcPr>
            <w:tcW w:w="99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0" w:line="213" w:lineRule="auto"/>
              <w:ind w:left="180" w:right="172"/>
              <w:jc w:val="center"/>
              <w:rPr>
                <w:sz w:val="21"/>
              </w:rPr>
            </w:pPr>
            <w:r>
              <w:rPr>
                <w:sz w:val="21"/>
              </w:rPr>
              <w:t>污染物排放管控</w:t>
            </w:r>
          </w:p>
        </w:tc>
        <w:tc>
          <w:tcPr>
            <w:tcW w:w="1567" w:type="dxa"/>
          </w:tcPr>
          <w:p>
            <w:pPr>
              <w:pStyle w:val="12"/>
              <w:spacing w:before="11"/>
              <w:rPr>
                <w:b/>
              </w:rPr>
            </w:pPr>
          </w:p>
          <w:p>
            <w:pPr>
              <w:pStyle w:val="12"/>
              <w:spacing w:line="213" w:lineRule="auto"/>
              <w:ind w:left="108" w:right="189"/>
              <w:jc w:val="both"/>
              <w:rPr>
                <w:sz w:val="21"/>
              </w:rPr>
            </w:pPr>
            <w:r>
              <w:rPr>
                <w:sz w:val="21"/>
              </w:rPr>
              <w:t>农业生产经营活动大气污染控制要求</w:t>
            </w:r>
          </w:p>
        </w:tc>
        <w:tc>
          <w:tcPr>
            <w:tcW w:w="11727" w:type="dxa"/>
          </w:tcPr>
          <w:p>
            <w:pPr>
              <w:pStyle w:val="12"/>
              <w:numPr>
                <w:ilvl w:val="0"/>
                <w:numId w:val="22"/>
              </w:numPr>
              <w:tabs>
                <w:tab w:val="left" w:pos="321"/>
              </w:tabs>
              <w:spacing w:before="104" w:line="223" w:lineRule="auto"/>
              <w:ind w:right="96" w:firstLine="0"/>
              <w:rPr>
                <w:sz w:val="21"/>
              </w:rPr>
            </w:pPr>
            <w:r>
              <w:rPr>
                <w:spacing w:val="-7"/>
                <w:sz w:val="21"/>
              </w:rPr>
              <w:t>秸秆焚烧重点区域，要制定专项工作方案，在夏收和秋收阶段开展秸秆禁烧专项巡查，严防因秸秆露天焚烧造成区域性重污</w:t>
            </w:r>
            <w:r>
              <w:rPr>
                <w:spacing w:val="-5"/>
                <w:sz w:val="21"/>
              </w:rPr>
              <w:t>染天气。控制农业源氨排放。</w:t>
            </w:r>
          </w:p>
          <w:p>
            <w:pPr>
              <w:pStyle w:val="12"/>
              <w:numPr>
                <w:ilvl w:val="0"/>
                <w:numId w:val="22"/>
              </w:numPr>
              <w:tabs>
                <w:tab w:val="left" w:pos="321"/>
              </w:tabs>
              <w:spacing w:before="104" w:line="220" w:lineRule="auto"/>
              <w:ind w:right="98" w:firstLine="0"/>
              <w:rPr>
                <w:sz w:val="21"/>
              </w:rPr>
            </w:pPr>
            <w:r>
              <w:rPr>
                <w:spacing w:val="-8"/>
                <w:sz w:val="21"/>
              </w:rPr>
              <w:t>提高化肥利用率，减少化肥农药使用量，增加有机肥使用量，实现化肥农药使用量负增长。强化畜禽粪污资源化利用，改善</w:t>
            </w:r>
            <w:r>
              <w:rPr>
                <w:spacing w:val="-5"/>
                <w:sz w:val="21"/>
              </w:rPr>
              <w:t>养殖场通风环境，提高畜禽粪污综合利用率，减少氨挥发排放。</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tcPr>
          <w:p>
            <w:pPr>
              <w:pStyle w:val="12"/>
              <w:spacing w:before="7"/>
              <w:rPr>
                <w:b/>
                <w:sz w:val="17"/>
              </w:rPr>
            </w:pPr>
          </w:p>
          <w:p>
            <w:pPr>
              <w:pStyle w:val="12"/>
              <w:spacing w:line="211" w:lineRule="auto"/>
              <w:ind w:left="108" w:right="189"/>
              <w:rPr>
                <w:sz w:val="21"/>
              </w:rPr>
            </w:pPr>
            <w:r>
              <w:rPr>
                <w:sz w:val="21"/>
              </w:rPr>
              <w:t>重点行业企业专项治理要求</w:t>
            </w:r>
          </w:p>
        </w:tc>
        <w:tc>
          <w:tcPr>
            <w:tcW w:w="11727" w:type="dxa"/>
          </w:tcPr>
          <w:p>
            <w:pPr>
              <w:pStyle w:val="12"/>
              <w:spacing w:before="103" w:line="213" w:lineRule="auto"/>
              <w:ind w:left="108" w:right="97"/>
              <w:jc w:val="both"/>
              <w:rPr>
                <w:sz w:val="21"/>
              </w:rPr>
            </w:pPr>
            <w:r>
              <w:rPr>
                <w:spacing w:val="-19"/>
                <w:sz w:val="21"/>
              </w:rPr>
              <w:t xml:space="preserve">到 </w:t>
            </w:r>
            <w:r>
              <w:rPr>
                <w:sz w:val="21"/>
              </w:rPr>
              <w:t>2020</w:t>
            </w:r>
            <w:r>
              <w:rPr>
                <w:spacing w:val="-11"/>
                <w:sz w:val="21"/>
              </w:rPr>
              <w:t xml:space="preserve"> 年，非化石能源占能源消费总量比重达到 </w:t>
            </w:r>
            <w:r>
              <w:rPr>
                <w:sz w:val="21"/>
              </w:rPr>
              <w:t>15</w:t>
            </w:r>
            <w:r>
              <w:rPr>
                <w:spacing w:val="-9"/>
                <w:sz w:val="21"/>
              </w:rPr>
              <w:t>%。有序发展水电，稳妥发展风电，因地制宜发展光伏发电、生物质能发电和地热能等。优先保障风电、光伏发电等可再生能源并网消纳。在具备条件的地方，鼓励发展县域生物质热电联产、生物质成</w:t>
            </w:r>
            <w:r>
              <w:rPr>
                <w:spacing w:val="-5"/>
                <w:sz w:val="21"/>
              </w:rPr>
              <w:t>型燃料锅炉及生物天然气。</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tcPr>
          <w:p>
            <w:pPr>
              <w:pStyle w:val="12"/>
              <w:rPr>
                <w:b/>
                <w:sz w:val="20"/>
              </w:rPr>
            </w:pPr>
          </w:p>
          <w:p>
            <w:pPr>
              <w:pStyle w:val="12"/>
              <w:spacing w:before="1"/>
              <w:rPr>
                <w:b/>
                <w:sz w:val="24"/>
              </w:rPr>
            </w:pPr>
          </w:p>
          <w:p>
            <w:pPr>
              <w:pStyle w:val="12"/>
              <w:spacing w:line="213" w:lineRule="auto"/>
              <w:ind w:left="108" w:right="189"/>
              <w:jc w:val="both"/>
              <w:rPr>
                <w:sz w:val="21"/>
              </w:rPr>
            </w:pPr>
            <w:r>
              <w:rPr>
                <w:sz w:val="21"/>
              </w:rPr>
              <w:t>其他大气污染物排放管控要求</w:t>
            </w:r>
          </w:p>
        </w:tc>
        <w:tc>
          <w:tcPr>
            <w:tcW w:w="11727" w:type="dxa"/>
          </w:tcPr>
          <w:p>
            <w:pPr>
              <w:pStyle w:val="12"/>
              <w:numPr>
                <w:ilvl w:val="0"/>
                <w:numId w:val="23"/>
              </w:numPr>
              <w:tabs>
                <w:tab w:val="left" w:pos="321"/>
              </w:tabs>
              <w:spacing w:before="81" w:line="256" w:lineRule="exact"/>
              <w:rPr>
                <w:sz w:val="21"/>
              </w:rPr>
            </w:pPr>
            <w:r>
              <w:rPr>
                <w:spacing w:val="-7"/>
                <w:sz w:val="21"/>
              </w:rPr>
              <w:t>开展餐饮油烟深度治理，完成所有公共机构和火锅等餐饮业油烟深度治理，安装高效油烟净化装置，鼓励低于国家排放标准</w:t>
            </w:r>
          </w:p>
          <w:p>
            <w:pPr>
              <w:pStyle w:val="12"/>
              <w:spacing w:before="11" w:line="211" w:lineRule="auto"/>
              <w:ind w:left="108" w:right="159"/>
              <w:rPr>
                <w:sz w:val="21"/>
              </w:rPr>
            </w:pPr>
            <w:r>
              <w:rPr>
                <w:sz w:val="21"/>
              </w:rPr>
              <w:t>50%排放。不得在城市建成区、人口集中区域露天焚烧附枝树叶、枯草垃圾、电子废物、油毡、沥青、橡胶、塑料、皮革以及其他产生有毒有害烟尘和恶臭气体的物质，不得在禁止区域内进行露天烧烤。</w:t>
            </w:r>
          </w:p>
          <w:p>
            <w:pPr>
              <w:pStyle w:val="12"/>
              <w:numPr>
                <w:ilvl w:val="0"/>
                <w:numId w:val="23"/>
              </w:numPr>
              <w:tabs>
                <w:tab w:val="left" w:pos="321"/>
              </w:tabs>
              <w:spacing w:before="108" w:line="211" w:lineRule="auto"/>
              <w:ind w:left="108" w:right="96" w:firstLine="0"/>
              <w:rPr>
                <w:sz w:val="21"/>
              </w:rPr>
            </w:pPr>
            <w:r>
              <w:rPr>
                <w:spacing w:val="-6"/>
                <w:sz w:val="21"/>
              </w:rPr>
              <w:t>推广使用低挥发性有机物新产品，服装干洗和机动车维修等行业应设置异味和废气处理装置。不得在禁止的时段和区域内燃</w:t>
            </w:r>
            <w:r>
              <w:rPr>
                <w:spacing w:val="-4"/>
                <w:sz w:val="21"/>
              </w:rPr>
              <w:t>放烟花爆竹，逐步扩大禁放区域</w:t>
            </w:r>
            <w:r>
              <w:rPr>
                <w:sz w:val="21"/>
              </w:rPr>
              <w:t>（</w:t>
            </w:r>
            <w:r>
              <w:rPr>
                <w:spacing w:val="-2"/>
                <w:sz w:val="21"/>
              </w:rPr>
              <w:t>场所</w:t>
            </w:r>
            <w:r>
              <w:rPr>
                <w:spacing w:val="-3"/>
                <w:sz w:val="21"/>
              </w:rPr>
              <w:t>）和限放区域范围。</w:t>
            </w:r>
          </w:p>
          <w:p>
            <w:pPr>
              <w:pStyle w:val="12"/>
              <w:numPr>
                <w:ilvl w:val="0"/>
                <w:numId w:val="23"/>
              </w:numPr>
              <w:tabs>
                <w:tab w:val="left" w:pos="321"/>
              </w:tabs>
              <w:spacing w:before="77"/>
              <w:rPr>
                <w:sz w:val="21"/>
              </w:rPr>
            </w:pPr>
            <w:r>
              <w:rPr>
                <w:spacing w:val="-3"/>
                <w:sz w:val="21"/>
              </w:rPr>
              <w:t>全面禁止秸秆、枯枝落叶、垃圾等露天焚烧。禁止在城区露天烧烤、烟熏食品等。</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50"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2"/>
              <w:rPr>
                <w:b/>
                <w:sz w:val="24"/>
              </w:rPr>
            </w:pPr>
          </w:p>
          <w:p>
            <w:pPr>
              <w:pStyle w:val="12"/>
              <w:spacing w:before="1" w:line="213" w:lineRule="auto"/>
              <w:ind w:left="158" w:right="151"/>
              <w:jc w:val="both"/>
              <w:rPr>
                <w:sz w:val="21"/>
              </w:rPr>
            </w:pPr>
            <w:r>
              <w:rPr>
                <w:sz w:val="21"/>
              </w:rPr>
              <w:t>大气环境高排放重点管控区</w:t>
            </w:r>
          </w:p>
        </w:tc>
        <w:tc>
          <w:tcPr>
            <w:tcW w:w="99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9"/>
              <w:rPr>
                <w:b/>
                <w:sz w:val="23"/>
              </w:rPr>
            </w:pPr>
          </w:p>
          <w:p>
            <w:pPr>
              <w:pStyle w:val="12"/>
              <w:spacing w:line="213" w:lineRule="auto"/>
              <w:ind w:left="180" w:right="172"/>
              <w:rPr>
                <w:sz w:val="21"/>
              </w:rPr>
            </w:pPr>
            <w:r>
              <w:rPr>
                <w:sz w:val="21"/>
              </w:rPr>
              <w:t>空间布局约束</w:t>
            </w:r>
          </w:p>
        </w:tc>
        <w:tc>
          <w:tcPr>
            <w:tcW w:w="1567"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4" w:line="213" w:lineRule="auto"/>
              <w:ind w:left="108" w:right="189"/>
              <w:rPr>
                <w:sz w:val="21"/>
              </w:rPr>
            </w:pPr>
            <w:r>
              <w:rPr>
                <w:sz w:val="21"/>
              </w:rPr>
              <w:t>禁止开发建设活动的要求</w:t>
            </w:r>
          </w:p>
        </w:tc>
        <w:tc>
          <w:tcPr>
            <w:tcW w:w="11727" w:type="dxa"/>
          </w:tcPr>
          <w:p>
            <w:pPr>
              <w:pStyle w:val="12"/>
              <w:spacing w:before="154"/>
              <w:ind w:left="108"/>
              <w:rPr>
                <w:sz w:val="21"/>
              </w:rPr>
            </w:pPr>
            <w:r>
              <w:rPr>
                <w:sz w:val="21"/>
              </w:rPr>
              <w:t>重点区域禁止新增化工园区，加大现有化工园区整治力度，确保全面达标排放。</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80" w:line="256" w:lineRule="exact"/>
              <w:ind w:left="108"/>
              <w:rPr>
                <w:sz w:val="21"/>
              </w:rPr>
            </w:pPr>
            <w:r>
              <w:rPr>
                <w:spacing w:val="-8"/>
                <w:sz w:val="21"/>
              </w:rPr>
              <w:t xml:space="preserve">重点区域淘汰每小时 </w:t>
            </w:r>
            <w:r>
              <w:rPr>
                <w:sz w:val="21"/>
              </w:rPr>
              <w:t>20</w:t>
            </w:r>
            <w:r>
              <w:rPr>
                <w:spacing w:val="-11"/>
                <w:sz w:val="21"/>
              </w:rPr>
              <w:t xml:space="preserve"> 蒸吨以下燃煤锅炉，启动每小时 </w:t>
            </w:r>
            <w:r>
              <w:rPr>
                <w:sz w:val="21"/>
              </w:rPr>
              <w:t>35</w:t>
            </w:r>
            <w:r>
              <w:rPr>
                <w:spacing w:val="-11"/>
                <w:sz w:val="21"/>
              </w:rPr>
              <w:t xml:space="preserve"> 蒸吨以下燃煤锅炉淘汰工作，其余城市建成区淘汰每小时 </w:t>
            </w:r>
            <w:r>
              <w:rPr>
                <w:sz w:val="21"/>
              </w:rPr>
              <w:t>10</w:t>
            </w:r>
            <w:r>
              <w:rPr>
                <w:spacing w:val="-18"/>
                <w:sz w:val="21"/>
              </w:rPr>
              <w:t xml:space="preserve"> 蒸吨</w:t>
            </w:r>
          </w:p>
          <w:p>
            <w:pPr>
              <w:pStyle w:val="12"/>
              <w:spacing w:line="241" w:lineRule="exact"/>
              <w:ind w:left="108"/>
              <w:rPr>
                <w:sz w:val="21"/>
              </w:rPr>
            </w:pPr>
            <w:r>
              <w:rPr>
                <w:spacing w:val="-8"/>
                <w:sz w:val="21"/>
              </w:rPr>
              <w:t xml:space="preserve">以下燃煤锅炉。到 </w:t>
            </w:r>
            <w:r>
              <w:rPr>
                <w:sz w:val="21"/>
              </w:rPr>
              <w:t>2020</w:t>
            </w:r>
            <w:r>
              <w:rPr>
                <w:spacing w:val="-10"/>
                <w:sz w:val="21"/>
              </w:rPr>
              <w:t xml:space="preserve"> 年，全省县级及以上城市全部淘汰 </w:t>
            </w:r>
            <w:r>
              <w:rPr>
                <w:sz w:val="21"/>
              </w:rPr>
              <w:t>10</w:t>
            </w:r>
            <w:r>
              <w:rPr>
                <w:spacing w:val="-9"/>
                <w:sz w:val="21"/>
              </w:rPr>
              <w:t xml:space="preserve"> 蒸吨及以下燃煤锅炉，基本淘汰燃煤的茶水炉、经营性炉灶、储</w:t>
            </w:r>
          </w:p>
          <w:p>
            <w:pPr>
              <w:pStyle w:val="12"/>
              <w:spacing w:line="239" w:lineRule="exact"/>
              <w:ind w:left="108"/>
              <w:rPr>
                <w:sz w:val="21"/>
              </w:rPr>
            </w:pPr>
            <w:r>
              <w:rPr>
                <w:spacing w:val="-7"/>
                <w:sz w:val="21"/>
              </w:rPr>
              <w:t xml:space="preserve">粮烘干设备等。全省设市城市建成区禁止新建每小时 </w:t>
            </w:r>
            <w:r>
              <w:rPr>
                <w:sz w:val="21"/>
              </w:rPr>
              <w:t>75</w:t>
            </w:r>
            <w:r>
              <w:rPr>
                <w:spacing w:val="-12"/>
                <w:sz w:val="21"/>
              </w:rPr>
              <w:t xml:space="preserve"> 蒸吨及以下燃煤锅炉，县级城市建成区禁止新建每小时 </w:t>
            </w:r>
            <w:r>
              <w:rPr>
                <w:sz w:val="21"/>
              </w:rPr>
              <w:t>35</w:t>
            </w:r>
            <w:r>
              <w:rPr>
                <w:spacing w:val="-9"/>
                <w:sz w:val="21"/>
              </w:rPr>
              <w:t xml:space="preserve"> 蒸吨及以下</w:t>
            </w:r>
          </w:p>
          <w:p>
            <w:pPr>
              <w:pStyle w:val="12"/>
              <w:spacing w:line="254" w:lineRule="exact"/>
              <w:ind w:left="108"/>
              <w:rPr>
                <w:sz w:val="21"/>
              </w:rPr>
            </w:pPr>
            <w:r>
              <w:rPr>
                <w:sz w:val="21"/>
              </w:rPr>
              <w:t>燃煤锅炉，其他区域禁止新建每小时 10 蒸吨以下燃煤锅炉。</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80" w:line="256" w:lineRule="exact"/>
              <w:ind w:left="108"/>
              <w:rPr>
                <w:sz w:val="21"/>
              </w:rPr>
            </w:pPr>
            <w:r>
              <w:rPr>
                <w:sz w:val="21"/>
              </w:rPr>
              <w:t>13</w:t>
            </w:r>
            <w:r>
              <w:rPr>
                <w:spacing w:val="-11"/>
                <w:sz w:val="21"/>
              </w:rPr>
              <w:t xml:space="preserve"> 个设市城市建成区淘汰每小时 </w:t>
            </w:r>
            <w:r>
              <w:rPr>
                <w:sz w:val="21"/>
              </w:rPr>
              <w:t>10</w:t>
            </w:r>
            <w:r>
              <w:rPr>
                <w:spacing w:val="-14"/>
                <w:sz w:val="21"/>
              </w:rPr>
              <w:t xml:space="preserve"> 蒸吨及以下燃煤锅炉，禁止新建每小时 </w:t>
            </w:r>
            <w:r>
              <w:rPr>
                <w:sz w:val="21"/>
              </w:rPr>
              <w:t>75</w:t>
            </w:r>
            <w:r>
              <w:rPr>
                <w:spacing w:val="-12"/>
                <w:sz w:val="21"/>
              </w:rPr>
              <w:t xml:space="preserve"> 蒸吨及以下燃煤锅炉。其他地区不再新建每小时</w:t>
            </w:r>
          </w:p>
          <w:p>
            <w:pPr>
              <w:pStyle w:val="12"/>
              <w:spacing w:before="12" w:line="211" w:lineRule="auto"/>
              <w:ind w:left="108" w:right="97"/>
              <w:rPr>
                <w:sz w:val="21"/>
              </w:rPr>
            </w:pPr>
            <w:r>
              <w:rPr>
                <w:sz w:val="21"/>
              </w:rPr>
              <w:t>10</w:t>
            </w:r>
            <w:r>
              <w:rPr>
                <w:spacing w:val="-11"/>
                <w:sz w:val="21"/>
              </w:rPr>
              <w:t xml:space="preserve"> 蒸吨及以下燃煤锅炉，逐步淘汰县城建成区 </w:t>
            </w:r>
            <w:r>
              <w:rPr>
                <w:sz w:val="21"/>
              </w:rPr>
              <w:t>10</w:t>
            </w:r>
            <w:r>
              <w:rPr>
                <w:spacing w:val="-11"/>
                <w:sz w:val="21"/>
              </w:rPr>
              <w:t xml:space="preserve"> 蒸吨以下燃煤锅炉。除淘汰锅炉外，所有燃煤锅炉均应采取脱硫措施，</w:t>
            </w:r>
            <w:r>
              <w:rPr>
                <w:spacing w:val="-5"/>
                <w:sz w:val="21"/>
              </w:rPr>
              <w:t xml:space="preserve">20t/h 以上的燃煤锅炉安装在线监测设施，原则上综合脱硫效率达到 </w:t>
            </w:r>
            <w:r>
              <w:rPr>
                <w:sz w:val="21"/>
              </w:rPr>
              <w:t>70</w:t>
            </w:r>
            <w:r>
              <w:rPr>
                <w:spacing w:val="-3"/>
                <w:sz w:val="21"/>
              </w:rPr>
              <w:t>%以上，创新锅炉燃烧方式和建设烟气脱硝示范工程。</w:t>
            </w:r>
          </w:p>
        </w:tc>
        <w:tc>
          <w:tcPr>
            <w:tcW w:w="5943" w:type="dxa"/>
            <w:vMerge w:val="restart"/>
          </w:tcPr>
          <w:p>
            <w:pPr>
              <w:pStyle w:val="12"/>
              <w:rPr>
                <w:b/>
                <w:sz w:val="20"/>
              </w:rPr>
            </w:pPr>
          </w:p>
          <w:p>
            <w:pPr>
              <w:pStyle w:val="12"/>
              <w:rPr>
                <w:b/>
                <w:sz w:val="20"/>
              </w:rPr>
            </w:pPr>
          </w:p>
          <w:p>
            <w:pPr>
              <w:pStyle w:val="12"/>
              <w:spacing w:before="11"/>
              <w:rPr>
                <w:b/>
                <w:sz w:val="23"/>
              </w:rPr>
            </w:pPr>
          </w:p>
          <w:p>
            <w:pPr>
              <w:pStyle w:val="12"/>
              <w:spacing w:line="213" w:lineRule="auto"/>
              <w:ind w:left="109" w:right="94"/>
              <w:rPr>
                <w:sz w:val="21"/>
              </w:rPr>
            </w:pPr>
            <w:r>
              <w:rPr>
                <w:spacing w:val="-3"/>
                <w:sz w:val="21"/>
              </w:rPr>
              <w:t>《贵州省大气污染防治行动计划实施方案</w:t>
            </w:r>
            <w:r>
              <w:rPr>
                <w:spacing w:val="-123"/>
                <w:sz w:val="21"/>
              </w:rPr>
              <w:t>》</w:t>
            </w:r>
            <w:r>
              <w:rPr>
                <w:sz w:val="21"/>
              </w:rPr>
              <w:t>（</w:t>
            </w:r>
            <w:r>
              <w:rPr>
                <w:spacing w:val="-6"/>
                <w:sz w:val="21"/>
              </w:rPr>
              <w:t>黔府发〔</w:t>
            </w:r>
            <w:r>
              <w:rPr>
                <w:sz w:val="21"/>
              </w:rPr>
              <w:t>2014</w:t>
            </w:r>
            <w:r>
              <w:rPr>
                <w:spacing w:val="-20"/>
                <w:sz w:val="21"/>
              </w:rPr>
              <w:t>〕</w:t>
            </w:r>
            <w:r>
              <w:rPr>
                <w:sz w:val="21"/>
              </w:rPr>
              <w:t>13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3" w:line="213" w:lineRule="auto"/>
              <w:ind w:left="108" w:right="96"/>
              <w:rPr>
                <w:sz w:val="21"/>
              </w:rPr>
            </w:pPr>
            <w:r>
              <w:rPr>
                <w:spacing w:val="-9"/>
                <w:sz w:val="21"/>
              </w:rPr>
              <w:t>全面禁止在城市规划区新建改建扩建水泥、煤化工、煤炭火电、焦化、金属冶炼、陶瓷等大气污染严重的产业项目；禁止引进</w:t>
            </w:r>
            <w:r>
              <w:rPr>
                <w:spacing w:val="-5"/>
                <w:sz w:val="21"/>
              </w:rPr>
              <w:t>严重污染大气环境的落后生产工艺、落后设备。</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restart"/>
          </w:tcPr>
          <w:p>
            <w:pPr>
              <w:pStyle w:val="12"/>
              <w:rPr>
                <w:b/>
                <w:sz w:val="20"/>
              </w:rPr>
            </w:pPr>
          </w:p>
          <w:p>
            <w:pPr>
              <w:pStyle w:val="12"/>
              <w:rPr>
                <w:b/>
                <w:sz w:val="20"/>
              </w:rPr>
            </w:pPr>
          </w:p>
          <w:p>
            <w:pPr>
              <w:pStyle w:val="12"/>
              <w:rPr>
                <w:b/>
                <w:sz w:val="20"/>
              </w:rPr>
            </w:pPr>
          </w:p>
          <w:p>
            <w:pPr>
              <w:pStyle w:val="12"/>
              <w:spacing w:before="9"/>
              <w:rPr>
                <w:b/>
                <w:sz w:val="29"/>
              </w:rPr>
            </w:pPr>
          </w:p>
          <w:p>
            <w:pPr>
              <w:pStyle w:val="12"/>
              <w:spacing w:line="213" w:lineRule="auto"/>
              <w:ind w:left="108" w:right="189"/>
              <w:rPr>
                <w:sz w:val="21"/>
              </w:rPr>
            </w:pPr>
            <w:r>
              <w:rPr>
                <w:sz w:val="21"/>
              </w:rPr>
              <w:t>限制开发建设活动的要求</w:t>
            </w:r>
          </w:p>
        </w:tc>
        <w:tc>
          <w:tcPr>
            <w:tcW w:w="11727" w:type="dxa"/>
          </w:tcPr>
          <w:p>
            <w:pPr>
              <w:pStyle w:val="12"/>
              <w:spacing w:before="5"/>
              <w:rPr>
                <w:b/>
                <w:sz w:val="17"/>
              </w:rPr>
            </w:pPr>
          </w:p>
          <w:p>
            <w:pPr>
              <w:pStyle w:val="12"/>
              <w:spacing w:line="213" w:lineRule="auto"/>
              <w:ind w:left="108" w:right="97"/>
              <w:rPr>
                <w:sz w:val="21"/>
              </w:rPr>
            </w:pPr>
            <w:r>
              <w:rPr>
                <w:sz w:val="21"/>
              </w:rPr>
              <w:t>严控</w:t>
            </w:r>
            <w:r>
              <w:rPr>
                <w:rFonts w:ascii="Times New Roman" w:hAnsi="Times New Roman" w:eastAsia="Times New Roman"/>
                <w:spacing w:val="-3"/>
                <w:sz w:val="21"/>
              </w:rPr>
              <w:t>“</w:t>
            </w:r>
            <w:r>
              <w:rPr>
                <w:sz w:val="21"/>
              </w:rPr>
              <w:t>两高</w:t>
            </w:r>
            <w:r>
              <w:rPr>
                <w:rFonts w:ascii="Times New Roman" w:hAnsi="Times New Roman" w:eastAsia="Times New Roman"/>
                <w:spacing w:val="-3"/>
                <w:sz w:val="21"/>
              </w:rPr>
              <w:t>”</w:t>
            </w:r>
            <w:r>
              <w:rPr>
                <w:spacing w:val="-8"/>
                <w:sz w:val="21"/>
              </w:rPr>
              <w:t>行业新增产能。研究制定全省和各地符合当地功能定位、满足国家要求的产业准入目录</w:t>
            </w:r>
            <w:r>
              <w:rPr>
                <w:rFonts w:ascii="Times New Roman" w:hAnsi="Times New Roman" w:eastAsia="Times New Roman"/>
                <w:sz w:val="21"/>
              </w:rPr>
              <w:t>;</w:t>
            </w:r>
            <w:r>
              <w:rPr>
                <w:spacing w:val="-6"/>
                <w:sz w:val="21"/>
              </w:rPr>
              <w:t>不断优化产业结构，促进产</w:t>
            </w:r>
            <w:r>
              <w:rPr>
                <w:spacing w:val="-4"/>
                <w:sz w:val="21"/>
              </w:rPr>
              <w:t>业转型升级</w:t>
            </w:r>
            <w:r>
              <w:rPr>
                <w:rFonts w:ascii="Times New Roman" w:hAnsi="Times New Roman" w:eastAsia="Times New Roman"/>
                <w:spacing w:val="-4"/>
                <w:sz w:val="21"/>
              </w:rPr>
              <w:t>;</w:t>
            </w:r>
            <w:r>
              <w:rPr>
                <w:spacing w:val="-3"/>
                <w:sz w:val="21"/>
              </w:rPr>
              <w:t>严格控制高耗能、高污染行业新增产能，新、改、扩建项目要实行产能等量或减量置换。</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5"/>
              <w:rPr>
                <w:b/>
                <w:sz w:val="17"/>
              </w:rPr>
            </w:pPr>
          </w:p>
          <w:p>
            <w:pPr>
              <w:pStyle w:val="12"/>
              <w:spacing w:line="213" w:lineRule="auto"/>
              <w:ind w:left="108" w:right="97"/>
              <w:rPr>
                <w:sz w:val="21"/>
              </w:rPr>
            </w:pPr>
            <w:r>
              <w:rPr>
                <w:spacing w:val="-8"/>
                <w:sz w:val="21"/>
              </w:rPr>
              <w:t>加大过剩产能压减力度，重点区域严禁新增钢铁、水泥、平板玻璃、焦化、电解铝、铸造等产能。严格执行钢铁、电解铝、水</w:t>
            </w:r>
            <w:r>
              <w:rPr>
                <w:spacing w:val="-5"/>
                <w:sz w:val="21"/>
              </w:rPr>
              <w:t>泥、平板玻璃等行业产能置换实施办法。</w:t>
            </w:r>
          </w:p>
        </w:tc>
        <w:tc>
          <w:tcPr>
            <w:tcW w:w="5943" w:type="dxa"/>
          </w:tcPr>
          <w:p>
            <w:pPr>
              <w:pStyle w:val="12"/>
              <w:spacing w:before="5"/>
              <w:rPr>
                <w:b/>
                <w:sz w:val="17"/>
              </w:rPr>
            </w:pPr>
          </w:p>
          <w:p>
            <w:pPr>
              <w:pStyle w:val="12"/>
              <w:spacing w:line="213" w:lineRule="auto"/>
              <w:ind w:left="109" w:right="94"/>
              <w:rPr>
                <w:sz w:val="21"/>
              </w:rPr>
            </w:pPr>
            <w:r>
              <w:rPr>
                <w:spacing w:val="-3"/>
                <w:sz w:val="21"/>
              </w:rPr>
              <w:t>《坚决打好工业和通信业污染防治攻坚战三年行动计划</w:t>
            </w:r>
            <w:r>
              <w:rPr>
                <w:spacing w:val="-157"/>
                <w:sz w:val="21"/>
              </w:rPr>
              <w:t>》</w:t>
            </w:r>
            <w:r>
              <w:rPr>
                <w:sz w:val="21"/>
              </w:rPr>
              <w:t>（</w:t>
            </w:r>
            <w:r>
              <w:rPr>
                <w:spacing w:val="-2"/>
                <w:sz w:val="21"/>
              </w:rPr>
              <w:t>工信</w:t>
            </w:r>
            <w:r>
              <w:rPr>
                <w:spacing w:val="-3"/>
                <w:sz w:val="21"/>
              </w:rPr>
              <w:t>部节〔</w:t>
            </w:r>
            <w:r>
              <w:rPr>
                <w:rFonts w:ascii="Times New Roman" w:eastAsia="Times New Roman"/>
                <w:sz w:val="21"/>
              </w:rPr>
              <w:t>2018</w:t>
            </w:r>
            <w:r>
              <w:rPr>
                <w:sz w:val="21"/>
              </w:rPr>
              <w:t>〕</w:t>
            </w:r>
            <w:r>
              <w:rPr>
                <w:rFonts w:ascii="Times New Roman" w:eastAsia="Times New Roman"/>
                <w:sz w:val="21"/>
              </w:rPr>
              <w:t xml:space="preserve">136 </w:t>
            </w:r>
            <w:r>
              <w:rPr>
                <w:spacing w:val="-3"/>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5"/>
              <w:rPr>
                <w:b/>
                <w:sz w:val="17"/>
              </w:rPr>
            </w:pPr>
          </w:p>
          <w:p>
            <w:pPr>
              <w:pStyle w:val="12"/>
              <w:spacing w:line="213" w:lineRule="auto"/>
              <w:ind w:left="108" w:right="159"/>
              <w:rPr>
                <w:sz w:val="21"/>
              </w:rPr>
            </w:pPr>
            <w:r>
              <w:rPr>
                <w:sz w:val="21"/>
              </w:rPr>
              <w:t>加大实施煤改气、煤改电，散煤清洁化治理力度；有序发展火电，充分开发 水电，积极发展分布式小水电、风电、生物质发电、太阳能光伏 发电等新能源和可再生能源。</w:t>
            </w:r>
          </w:p>
        </w:tc>
        <w:tc>
          <w:tcPr>
            <w:tcW w:w="5943" w:type="dxa"/>
          </w:tcPr>
          <w:p>
            <w:pPr>
              <w:pStyle w:val="12"/>
              <w:spacing w:before="12"/>
              <w:rPr>
                <w:b/>
                <w:sz w:val="24"/>
              </w:rPr>
            </w:pPr>
          </w:p>
          <w:p>
            <w:pPr>
              <w:pStyle w:val="12"/>
              <w:ind w:left="109"/>
              <w:rPr>
                <w:sz w:val="21"/>
              </w:rPr>
            </w:pPr>
            <w:r>
              <w:rPr>
                <w:sz w:val="21"/>
              </w:rPr>
              <w:t>《贵州省十三五环境保护规划》（</w:t>
            </w:r>
            <w:r>
              <w:rPr>
                <w:rFonts w:ascii="Times New Roman" w:eastAsia="Times New Roman"/>
                <w:sz w:val="21"/>
              </w:rPr>
              <w:t>2016</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restart"/>
          </w:tcPr>
          <w:p>
            <w:pPr>
              <w:pStyle w:val="12"/>
              <w:rPr>
                <w:b/>
                <w:sz w:val="20"/>
              </w:rPr>
            </w:pPr>
          </w:p>
          <w:p>
            <w:pPr>
              <w:pStyle w:val="12"/>
              <w:rPr>
                <w:b/>
                <w:sz w:val="24"/>
              </w:rPr>
            </w:pPr>
          </w:p>
          <w:p>
            <w:pPr>
              <w:pStyle w:val="12"/>
              <w:spacing w:line="213" w:lineRule="auto"/>
              <w:ind w:left="108" w:right="189"/>
              <w:rPr>
                <w:sz w:val="21"/>
              </w:rPr>
            </w:pPr>
            <w:r>
              <w:rPr>
                <w:sz w:val="21"/>
              </w:rPr>
              <w:t>允许开发建设活动的要求</w:t>
            </w:r>
          </w:p>
        </w:tc>
        <w:tc>
          <w:tcPr>
            <w:tcW w:w="11727" w:type="dxa"/>
          </w:tcPr>
          <w:p>
            <w:pPr>
              <w:pStyle w:val="12"/>
              <w:spacing w:before="108" w:line="211" w:lineRule="auto"/>
              <w:ind w:left="108" w:right="97"/>
              <w:rPr>
                <w:sz w:val="21"/>
              </w:rPr>
            </w:pPr>
            <w:r>
              <w:rPr>
                <w:spacing w:val="-7"/>
                <w:sz w:val="21"/>
              </w:rPr>
              <w:t>严控高耗能、高污染行业产能扩张。加强节能监察，依法淘汰落后的生产工艺、技术和设备。积极开发高附加值、低消耗、低</w:t>
            </w:r>
            <w:r>
              <w:rPr>
                <w:spacing w:val="-4"/>
                <w:sz w:val="21"/>
              </w:rPr>
              <w:t>排放产品。</w:t>
            </w:r>
          </w:p>
        </w:tc>
        <w:tc>
          <w:tcPr>
            <w:tcW w:w="5943" w:type="dxa"/>
          </w:tcPr>
          <w:p>
            <w:pPr>
              <w:pStyle w:val="12"/>
              <w:spacing w:before="82" w:line="253" w:lineRule="exact"/>
              <w:ind w:left="109"/>
              <w:rPr>
                <w:sz w:val="21"/>
              </w:rPr>
            </w:pPr>
            <w:r>
              <w:rPr>
                <w:sz w:val="21"/>
              </w:rPr>
              <w:t>《贵州省</w:t>
            </w:r>
            <w:r>
              <w:rPr>
                <w:rFonts w:ascii="Times New Roman" w:hAnsi="Times New Roman" w:eastAsia="Times New Roman"/>
                <w:sz w:val="21"/>
              </w:rPr>
              <w:t>“</w:t>
            </w:r>
            <w:r>
              <w:rPr>
                <w:sz w:val="21"/>
              </w:rPr>
              <w:t>十三五</w:t>
            </w:r>
            <w:r>
              <w:rPr>
                <w:rFonts w:ascii="Times New Roman" w:hAnsi="Times New Roman" w:eastAsia="Times New Roman"/>
                <w:sz w:val="21"/>
              </w:rPr>
              <w:t>”</w:t>
            </w:r>
            <w:r>
              <w:rPr>
                <w:sz w:val="21"/>
              </w:rPr>
              <w:t>节能减排综合工作方案的通知》（黔府发</w:t>
            </w:r>
          </w:p>
          <w:p>
            <w:pPr>
              <w:pStyle w:val="12"/>
              <w:spacing w:line="253" w:lineRule="exact"/>
              <w:ind w:left="109"/>
              <w:rPr>
                <w:sz w:val="21"/>
              </w:rPr>
            </w:pPr>
            <w:r>
              <w:rPr>
                <w:sz w:val="21"/>
              </w:rPr>
              <w:t>〔</w:t>
            </w:r>
            <w:r>
              <w:rPr>
                <w:rFonts w:ascii="Times New Roman" w:eastAsia="Times New Roman"/>
                <w:sz w:val="21"/>
              </w:rPr>
              <w:t>2017</w:t>
            </w:r>
            <w:r>
              <w:rPr>
                <w:sz w:val="21"/>
              </w:rPr>
              <w:t>〕</w:t>
            </w: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87"/>
              <w:ind w:left="108"/>
              <w:rPr>
                <w:sz w:val="21"/>
              </w:rPr>
            </w:pPr>
            <w:r>
              <w:rPr>
                <w:sz w:val="21"/>
              </w:rPr>
              <w:t>重点整治平板玻璃行业推进</w:t>
            </w:r>
            <w:r>
              <w:rPr>
                <w:rFonts w:ascii="Times New Roman" w:hAnsi="Times New Roman" w:eastAsia="Times New Roman"/>
                <w:sz w:val="21"/>
              </w:rPr>
              <w:t>“</w:t>
            </w:r>
            <w:r>
              <w:rPr>
                <w:sz w:val="21"/>
              </w:rPr>
              <w:t>煤改气</w:t>
            </w:r>
            <w:r>
              <w:rPr>
                <w:rFonts w:ascii="Times New Roman" w:hAnsi="Times New Roman" w:eastAsia="Times New Roman"/>
                <w:sz w:val="21"/>
              </w:rPr>
              <w:t>”</w:t>
            </w:r>
            <w:r>
              <w:rPr>
                <w:sz w:val="21"/>
              </w:rPr>
              <w:t>、</w:t>
            </w:r>
            <w:r>
              <w:rPr>
                <w:rFonts w:ascii="Times New Roman" w:hAnsi="Times New Roman" w:eastAsia="Times New Roman"/>
                <w:sz w:val="21"/>
              </w:rPr>
              <w:t>“</w:t>
            </w:r>
            <w:r>
              <w:rPr>
                <w:sz w:val="21"/>
              </w:rPr>
              <w:t>煤改电</w:t>
            </w:r>
            <w:r>
              <w:rPr>
                <w:rFonts w:ascii="Times New Roman" w:hAnsi="Times New Roman" w:eastAsia="Times New Roman"/>
                <w:sz w:val="21"/>
              </w:rPr>
              <w:t>”</w:t>
            </w:r>
            <w:r>
              <w:rPr>
                <w:sz w:val="21"/>
              </w:rPr>
              <w:t>，浮法玻璃生产线全部实施烟气脱硫脱硝。</w:t>
            </w:r>
          </w:p>
        </w:tc>
        <w:tc>
          <w:tcPr>
            <w:tcW w:w="5943" w:type="dxa"/>
          </w:tcPr>
          <w:p>
            <w:pPr>
              <w:pStyle w:val="12"/>
              <w:spacing w:before="87"/>
              <w:ind w:left="109"/>
              <w:rPr>
                <w:sz w:val="21"/>
              </w:rPr>
            </w:pPr>
            <w:r>
              <w:rPr>
                <w:sz w:val="21"/>
              </w:rPr>
              <w:t>《贵州省十三五环境保护规划》（</w:t>
            </w:r>
            <w:r>
              <w:rPr>
                <w:rFonts w:ascii="Times New Roman" w:eastAsia="Times New Roman"/>
                <w:sz w:val="21"/>
              </w:rPr>
              <w:t>2016</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87"/>
              <w:ind w:left="108"/>
              <w:rPr>
                <w:sz w:val="21"/>
              </w:rPr>
            </w:pPr>
            <w:r>
              <w:rPr>
                <w:sz w:val="21"/>
              </w:rPr>
              <w:t xml:space="preserve">至 </w:t>
            </w:r>
            <w:r>
              <w:rPr>
                <w:rFonts w:ascii="Times New Roman" w:eastAsia="Times New Roman"/>
                <w:sz w:val="21"/>
              </w:rPr>
              <w:t xml:space="preserve">2020 </w:t>
            </w:r>
            <w:r>
              <w:rPr>
                <w:sz w:val="21"/>
              </w:rPr>
              <w:t xml:space="preserve">年，国、省控废气污染源达标排放率 </w:t>
            </w:r>
            <w:r>
              <w:rPr>
                <w:rFonts w:ascii="Times New Roman" w:eastAsia="Times New Roman"/>
                <w:sz w:val="21"/>
              </w:rPr>
              <w:t>100%</w:t>
            </w:r>
            <w:r>
              <w:rPr>
                <w:sz w:val="21"/>
              </w:rPr>
              <w:t>。</w:t>
            </w:r>
          </w:p>
        </w:tc>
        <w:tc>
          <w:tcPr>
            <w:tcW w:w="5943" w:type="dxa"/>
          </w:tcPr>
          <w:p>
            <w:pPr>
              <w:pStyle w:val="12"/>
              <w:spacing w:before="87"/>
              <w:ind w:left="109"/>
              <w:rPr>
                <w:sz w:val="21"/>
              </w:rPr>
            </w:pPr>
            <w:r>
              <w:rPr>
                <w:spacing w:val="-10"/>
                <w:sz w:val="21"/>
              </w:rPr>
              <w:t>《乌江流域污染联防联控工作方案》</w:t>
            </w:r>
            <w:r>
              <w:rPr>
                <w:sz w:val="21"/>
              </w:rPr>
              <w:t>（</w:t>
            </w:r>
            <w:r>
              <w:rPr>
                <w:spacing w:val="-3"/>
                <w:sz w:val="21"/>
              </w:rPr>
              <w:t>黔府办发〔</w:t>
            </w:r>
            <w:r>
              <w:rPr>
                <w:rFonts w:ascii="Times New Roman" w:eastAsia="Times New Roman"/>
                <w:sz w:val="21"/>
              </w:rPr>
              <w:t>2016</w:t>
            </w:r>
            <w:r>
              <w:rPr>
                <w:sz w:val="21"/>
              </w:rPr>
              <w:t>〕</w:t>
            </w:r>
            <w:r>
              <w:rPr>
                <w:rFonts w:ascii="Times New Roman" w:eastAsia="Times New Roman"/>
                <w:sz w:val="21"/>
              </w:rPr>
              <w:t xml:space="preserve">36 </w:t>
            </w:r>
            <w:r>
              <w:rPr>
                <w:spacing w:val="-3"/>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tcPr>
          <w:p>
            <w:pPr>
              <w:pStyle w:val="12"/>
              <w:spacing w:before="154" w:line="213" w:lineRule="auto"/>
              <w:ind w:left="108" w:right="189"/>
              <w:jc w:val="both"/>
              <w:rPr>
                <w:sz w:val="21"/>
              </w:rPr>
            </w:pPr>
            <w:r>
              <w:rPr>
                <w:sz w:val="21"/>
              </w:rPr>
              <w:t>不符合空间布局要求活动的退出要求</w:t>
            </w:r>
          </w:p>
        </w:tc>
        <w:tc>
          <w:tcPr>
            <w:tcW w:w="11727" w:type="dxa"/>
          </w:tcPr>
          <w:p>
            <w:pPr>
              <w:pStyle w:val="12"/>
              <w:numPr>
                <w:ilvl w:val="0"/>
                <w:numId w:val="24"/>
              </w:numPr>
              <w:tabs>
                <w:tab w:val="left" w:pos="268"/>
              </w:tabs>
              <w:spacing w:before="104" w:line="213" w:lineRule="auto"/>
              <w:ind w:right="104" w:firstLine="0"/>
              <w:rPr>
                <w:sz w:val="21"/>
              </w:rPr>
            </w:pPr>
            <w:r>
              <w:rPr>
                <w:spacing w:val="-3"/>
                <w:sz w:val="21"/>
              </w:rPr>
              <w:t>加快城市建成区重污染企业、危险化学品企业搬迁改造或关闭退出，推动实施一批钢铁、水泥、平板玻璃、焦化、化工等重污染企业搬迁工程，采取转型发展、就地改造、域外搬迁等方式推动转型升级。</w:t>
            </w:r>
          </w:p>
          <w:p>
            <w:pPr>
              <w:pStyle w:val="12"/>
              <w:numPr>
                <w:ilvl w:val="0"/>
                <w:numId w:val="24"/>
              </w:numPr>
              <w:tabs>
                <w:tab w:val="left" w:pos="268"/>
              </w:tabs>
              <w:spacing w:before="78"/>
              <w:ind w:left="267"/>
              <w:rPr>
                <w:sz w:val="21"/>
              </w:rPr>
            </w:pPr>
            <w:r>
              <w:rPr>
                <w:spacing w:val="-2"/>
                <w:sz w:val="21"/>
              </w:rPr>
              <w:t>建立</w:t>
            </w:r>
            <w:r>
              <w:rPr>
                <w:rFonts w:ascii="Times New Roman" w:hAnsi="Times New Roman" w:eastAsia="Times New Roman"/>
                <w:sz w:val="21"/>
              </w:rPr>
              <w:t>“</w:t>
            </w:r>
            <w:r>
              <w:rPr>
                <w:spacing w:val="-2"/>
                <w:sz w:val="21"/>
              </w:rPr>
              <w:t>散乱污</w:t>
            </w:r>
            <w:r>
              <w:rPr>
                <w:rFonts w:ascii="Times New Roman" w:hAnsi="Times New Roman" w:eastAsia="Times New Roman"/>
                <w:spacing w:val="-3"/>
                <w:sz w:val="21"/>
              </w:rPr>
              <w:t>”</w:t>
            </w:r>
            <w:r>
              <w:rPr>
                <w:spacing w:val="-3"/>
                <w:sz w:val="21"/>
              </w:rPr>
              <w:t>企业动态管理机制，坚决杜绝</w:t>
            </w:r>
            <w:r>
              <w:rPr>
                <w:rFonts w:ascii="Times New Roman" w:hAnsi="Times New Roman" w:eastAsia="Times New Roman"/>
                <w:spacing w:val="-3"/>
                <w:sz w:val="21"/>
              </w:rPr>
              <w:t>“</w:t>
            </w:r>
            <w:r>
              <w:rPr>
                <w:spacing w:val="-3"/>
                <w:sz w:val="21"/>
              </w:rPr>
              <w:t>散乱污</w:t>
            </w:r>
            <w:r>
              <w:rPr>
                <w:rFonts w:ascii="Times New Roman" w:hAnsi="Times New Roman" w:eastAsia="Times New Roman"/>
                <w:sz w:val="21"/>
              </w:rPr>
              <w:t>”</w:t>
            </w:r>
            <w:r>
              <w:rPr>
                <w:spacing w:val="-3"/>
                <w:sz w:val="21"/>
              </w:rPr>
              <w:t>企业项目建设和已取缔的</w:t>
            </w:r>
            <w:r>
              <w:rPr>
                <w:rFonts w:ascii="Times New Roman" w:hAnsi="Times New Roman" w:eastAsia="Times New Roman"/>
                <w:sz w:val="21"/>
              </w:rPr>
              <w:t>“</w:t>
            </w:r>
            <w:r>
              <w:rPr>
                <w:spacing w:val="-2"/>
                <w:sz w:val="21"/>
              </w:rPr>
              <w:t>散乱污</w:t>
            </w:r>
            <w:r>
              <w:rPr>
                <w:rFonts w:ascii="Times New Roman" w:hAnsi="Times New Roman" w:eastAsia="Times New Roman"/>
                <w:sz w:val="21"/>
              </w:rPr>
              <w:t>”</w:t>
            </w:r>
            <w:r>
              <w:rPr>
                <w:spacing w:val="-3"/>
                <w:sz w:val="21"/>
              </w:rPr>
              <w:t>企业异地转移、死灰复燃。</w:t>
            </w:r>
          </w:p>
        </w:tc>
        <w:tc>
          <w:tcPr>
            <w:tcW w:w="5943" w:type="dxa"/>
          </w:tcPr>
          <w:p>
            <w:pPr>
              <w:pStyle w:val="12"/>
              <w:spacing w:before="7"/>
              <w:rPr>
                <w:b/>
                <w:sz w:val="19"/>
              </w:rPr>
            </w:pPr>
          </w:p>
          <w:p>
            <w:pPr>
              <w:pStyle w:val="12"/>
              <w:spacing w:line="255" w:lineRule="exact"/>
              <w:ind w:left="109" w:right="-15"/>
              <w:rPr>
                <w:sz w:val="21"/>
              </w:rPr>
            </w:pPr>
            <w:r>
              <w:rPr>
                <w:spacing w:val="-5"/>
                <w:sz w:val="21"/>
              </w:rPr>
              <w:t>《贵州省打赢蓝天保卫战三年行动计划》通知</w:t>
            </w:r>
            <w:r>
              <w:rPr>
                <w:spacing w:val="-3"/>
                <w:sz w:val="21"/>
              </w:rPr>
              <w:t>（</w:t>
            </w:r>
            <w:r>
              <w:rPr>
                <w:spacing w:val="-6"/>
                <w:sz w:val="21"/>
              </w:rPr>
              <w:t>黔府发〔</w:t>
            </w:r>
            <w:r>
              <w:rPr>
                <w:rFonts w:ascii="Times New Roman" w:eastAsia="Times New Roman"/>
                <w:sz w:val="21"/>
              </w:rPr>
              <w:t>2018</w:t>
            </w:r>
            <w:r>
              <w:rPr>
                <w:sz w:val="21"/>
              </w:rPr>
              <w:t>〕</w:t>
            </w:r>
          </w:p>
          <w:p>
            <w:pPr>
              <w:pStyle w:val="12"/>
              <w:spacing w:line="255" w:lineRule="exact"/>
              <w:ind w:left="109"/>
              <w:rPr>
                <w:sz w:val="21"/>
              </w:rPr>
            </w:pPr>
            <w:r>
              <w:rPr>
                <w:rFonts w:ascii="Times New Roman" w:eastAsia="Times New Roman"/>
                <w:sz w:val="21"/>
              </w:rPr>
              <w:t xml:space="preserve">26 </w:t>
            </w:r>
            <w:r>
              <w:rPr>
                <w:sz w:val="21"/>
              </w:rPr>
              <w:t>号）</w:t>
            </w:r>
          </w:p>
        </w:tc>
      </w:tr>
    </w:tbl>
    <w:p>
      <w:pPr>
        <w:spacing w:line="255" w:lineRule="exact"/>
        <w:rPr>
          <w:sz w:val="21"/>
        </w:rPr>
        <w:sectPr>
          <w:pgSz w:w="23760" w:h="16790" w:orient="landscape"/>
          <w:pgMar w:top="1080" w:right="660" w:bottom="1080" w:left="860" w:header="0" w:footer="894" w:gutter="0"/>
          <w:cols w:space="720" w:num="1"/>
        </w:sectPr>
      </w:pPr>
    </w:p>
    <w:tbl>
      <w:tblPr>
        <w:tblStyle w:val="3"/>
        <w:tblW w:w="21181"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994"/>
        <w:gridCol w:w="1567"/>
        <w:gridCol w:w="11727"/>
        <w:gridCol w:w="5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950" w:type="dxa"/>
          </w:tcPr>
          <w:p>
            <w:pPr>
              <w:pStyle w:val="12"/>
              <w:spacing w:before="92"/>
              <w:ind w:left="263"/>
              <w:rPr>
                <w:b/>
                <w:sz w:val="21"/>
              </w:rPr>
            </w:pPr>
            <w:r>
              <w:rPr>
                <w:b/>
                <w:sz w:val="21"/>
              </w:rPr>
              <w:t>分类</w:t>
            </w:r>
          </w:p>
        </w:tc>
        <w:tc>
          <w:tcPr>
            <w:tcW w:w="2561" w:type="dxa"/>
            <w:gridSpan w:val="2"/>
          </w:tcPr>
          <w:p>
            <w:pPr>
              <w:pStyle w:val="12"/>
              <w:spacing w:before="92"/>
              <w:ind w:left="1043" w:right="1035"/>
              <w:jc w:val="center"/>
              <w:rPr>
                <w:b/>
                <w:sz w:val="21"/>
              </w:rPr>
            </w:pPr>
            <w:r>
              <w:rPr>
                <w:b/>
                <w:sz w:val="21"/>
              </w:rPr>
              <w:t>管控</w:t>
            </w:r>
          </w:p>
        </w:tc>
        <w:tc>
          <w:tcPr>
            <w:tcW w:w="11727" w:type="dxa"/>
          </w:tcPr>
          <w:p>
            <w:pPr>
              <w:pStyle w:val="12"/>
              <w:spacing w:before="92"/>
              <w:ind w:left="5414" w:right="5408"/>
              <w:jc w:val="center"/>
              <w:rPr>
                <w:b/>
                <w:sz w:val="21"/>
              </w:rPr>
            </w:pPr>
            <w:r>
              <w:rPr>
                <w:b/>
                <w:sz w:val="21"/>
              </w:rPr>
              <w:t>管控要求</w:t>
            </w:r>
          </w:p>
        </w:tc>
        <w:tc>
          <w:tcPr>
            <w:tcW w:w="5943" w:type="dxa"/>
          </w:tcPr>
          <w:p>
            <w:pPr>
              <w:pStyle w:val="12"/>
              <w:spacing w:before="82"/>
              <w:ind w:left="2313" w:right="2306"/>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50" w:type="dxa"/>
            <w:tcBorders>
              <w:bottom w:val="single" w:color="000000" w:sz="4" w:space="0"/>
            </w:tcBorders>
          </w:tcPr>
          <w:p>
            <w:pPr>
              <w:pStyle w:val="12"/>
              <w:rPr>
                <w:rFonts w:ascii="Times New Roman"/>
                <w:sz w:val="20"/>
              </w:rPr>
            </w:pPr>
          </w:p>
        </w:tc>
        <w:tc>
          <w:tcPr>
            <w:tcW w:w="994" w:type="dxa"/>
            <w:tcBorders>
              <w:bottom w:val="single" w:color="000000" w:sz="4" w:space="0"/>
            </w:tcBorders>
          </w:tcPr>
          <w:p>
            <w:pPr>
              <w:pStyle w:val="12"/>
              <w:rPr>
                <w:rFonts w:ascii="Times New Roman"/>
                <w:sz w:val="20"/>
              </w:rPr>
            </w:pPr>
          </w:p>
        </w:tc>
        <w:tc>
          <w:tcPr>
            <w:tcW w:w="1567" w:type="dxa"/>
          </w:tcPr>
          <w:p>
            <w:pPr>
              <w:pStyle w:val="12"/>
              <w:spacing w:before="104" w:line="213" w:lineRule="auto"/>
              <w:ind w:left="108" w:right="189"/>
              <w:rPr>
                <w:sz w:val="21"/>
              </w:rPr>
            </w:pPr>
            <w:r>
              <w:rPr>
                <w:sz w:val="21"/>
              </w:rPr>
              <w:t>其他空间布局约束要求</w:t>
            </w:r>
          </w:p>
        </w:tc>
        <w:tc>
          <w:tcPr>
            <w:tcW w:w="11727" w:type="dxa"/>
          </w:tcPr>
          <w:p>
            <w:pPr>
              <w:pStyle w:val="12"/>
              <w:spacing w:before="8"/>
              <w:rPr>
                <w:b/>
                <w:sz w:val="15"/>
              </w:rPr>
            </w:pPr>
          </w:p>
          <w:p>
            <w:pPr>
              <w:pStyle w:val="12"/>
              <w:ind w:left="108"/>
              <w:rPr>
                <w:sz w:val="21"/>
              </w:rPr>
            </w:pPr>
            <w:r>
              <w:rPr>
                <w:sz w:val="21"/>
              </w:rPr>
              <w:t>重点区域应制订更严格的产业准入门槛。</w:t>
            </w:r>
          </w:p>
        </w:tc>
        <w:tc>
          <w:tcPr>
            <w:tcW w:w="5943" w:type="dxa"/>
            <w:vMerge w:val="restart"/>
          </w:tcPr>
          <w:p>
            <w:pPr>
              <w:pStyle w:val="12"/>
              <w:rPr>
                <w:b/>
              </w:rPr>
            </w:pPr>
          </w:p>
          <w:p>
            <w:pPr>
              <w:pStyle w:val="12"/>
              <w:rPr>
                <w:b/>
              </w:rPr>
            </w:pPr>
          </w:p>
          <w:p>
            <w:pPr>
              <w:pStyle w:val="12"/>
              <w:spacing w:before="11"/>
              <w:rPr>
                <w:b/>
                <w:sz w:val="17"/>
              </w:rPr>
            </w:pPr>
          </w:p>
          <w:p>
            <w:pPr>
              <w:pStyle w:val="12"/>
              <w:spacing w:before="1" w:line="253" w:lineRule="exact"/>
              <w:ind w:left="109" w:right="-15"/>
              <w:rPr>
                <w:sz w:val="21"/>
              </w:rPr>
            </w:pPr>
            <w:r>
              <w:rPr>
                <w:spacing w:val="-5"/>
                <w:sz w:val="21"/>
              </w:rPr>
              <w:t>《贵州省打赢蓝天保卫战三年行动计划》通知</w:t>
            </w:r>
            <w:r>
              <w:rPr>
                <w:spacing w:val="-3"/>
                <w:sz w:val="21"/>
              </w:rPr>
              <w:t>（</w:t>
            </w:r>
            <w:r>
              <w:rPr>
                <w:spacing w:val="-6"/>
                <w:sz w:val="21"/>
              </w:rPr>
              <w:t>黔府发〔</w:t>
            </w:r>
            <w:r>
              <w:rPr>
                <w:rFonts w:ascii="Times New Roman" w:eastAsia="Times New Roman"/>
                <w:sz w:val="21"/>
              </w:rPr>
              <w:t>2018</w:t>
            </w:r>
            <w:r>
              <w:rPr>
                <w:sz w:val="21"/>
              </w:rPr>
              <w:t>〕</w:t>
            </w:r>
          </w:p>
          <w:p>
            <w:pPr>
              <w:pStyle w:val="12"/>
              <w:spacing w:line="253" w:lineRule="exact"/>
              <w:ind w:left="109"/>
              <w:rPr>
                <w:sz w:val="21"/>
              </w:rPr>
            </w:pP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50"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9"/>
              </w:rPr>
            </w:pPr>
          </w:p>
          <w:p>
            <w:pPr>
              <w:pStyle w:val="12"/>
              <w:spacing w:before="1" w:line="213" w:lineRule="auto"/>
              <w:ind w:left="158" w:right="151"/>
              <w:jc w:val="both"/>
              <w:rPr>
                <w:sz w:val="21"/>
              </w:rPr>
            </w:pPr>
            <w:r>
              <w:rPr>
                <w:sz w:val="21"/>
              </w:rPr>
              <w:t>大气环境高排放重点管控区</w:t>
            </w:r>
          </w:p>
        </w:tc>
        <w:tc>
          <w:tcPr>
            <w:tcW w:w="994" w:type="dxa"/>
            <w:vMerge w:val="restart"/>
            <w:tcBorders>
              <w:top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7"/>
              </w:rPr>
            </w:pPr>
          </w:p>
          <w:p>
            <w:pPr>
              <w:pStyle w:val="12"/>
              <w:spacing w:line="213" w:lineRule="auto"/>
              <w:ind w:left="108" w:right="244"/>
              <w:jc w:val="both"/>
              <w:rPr>
                <w:sz w:val="21"/>
              </w:rPr>
            </w:pPr>
            <w:r>
              <w:rPr>
                <w:sz w:val="21"/>
              </w:rPr>
              <w:t>污染物排放管控</w:t>
            </w:r>
          </w:p>
        </w:tc>
        <w:tc>
          <w:tcPr>
            <w:tcW w:w="1567" w:type="dxa"/>
            <w:vMerge w:val="restart"/>
          </w:tcPr>
          <w:p>
            <w:pPr>
              <w:pStyle w:val="12"/>
              <w:rPr>
                <w:b/>
                <w:sz w:val="20"/>
              </w:rPr>
            </w:pPr>
          </w:p>
          <w:p>
            <w:pPr>
              <w:pStyle w:val="12"/>
              <w:rPr>
                <w:b/>
                <w:sz w:val="20"/>
              </w:rPr>
            </w:pPr>
          </w:p>
          <w:p>
            <w:pPr>
              <w:pStyle w:val="12"/>
              <w:spacing w:before="7"/>
              <w:rPr>
                <w:b/>
                <w:sz w:val="19"/>
              </w:rPr>
            </w:pPr>
          </w:p>
          <w:p>
            <w:pPr>
              <w:pStyle w:val="12"/>
              <w:spacing w:line="196" w:lineRule="auto"/>
              <w:ind w:left="108" w:right="189"/>
              <w:rPr>
                <w:sz w:val="21"/>
              </w:rPr>
            </w:pPr>
            <w:r>
              <w:rPr>
                <w:sz w:val="21"/>
              </w:rPr>
              <w:t>区域大气污染物削减/替代要求</w:t>
            </w:r>
          </w:p>
        </w:tc>
        <w:tc>
          <w:tcPr>
            <w:tcW w:w="11727" w:type="dxa"/>
          </w:tcPr>
          <w:p>
            <w:pPr>
              <w:pStyle w:val="12"/>
              <w:spacing w:before="110" w:line="194" w:lineRule="auto"/>
              <w:ind w:left="108" w:right="96"/>
              <w:rPr>
                <w:sz w:val="21"/>
              </w:rPr>
            </w:pPr>
            <w:r>
              <w:rPr>
                <w:spacing w:val="-8"/>
                <w:sz w:val="21"/>
              </w:rPr>
              <w:t>建立高污染、高耗能、低产出企业执行差别化电价、水价政策的动态调整机制，对限制类、淘汰类企业大幅提高电价。加大对</w:t>
            </w:r>
            <w:r>
              <w:rPr>
                <w:spacing w:val="-5"/>
                <w:sz w:val="21"/>
              </w:rPr>
              <w:t>钢铁等行业超低排放改造支持力度。</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9"/>
              <w:ind w:left="108"/>
              <w:rPr>
                <w:sz w:val="21"/>
              </w:rPr>
            </w:pPr>
            <w:r>
              <w:rPr>
                <w:sz w:val="21"/>
              </w:rPr>
              <w:t xml:space="preserve">重点区域禁止建设生产和使用高 </w:t>
            </w:r>
            <w:r>
              <w:rPr>
                <w:rFonts w:ascii="Times New Roman" w:eastAsia="Times New Roman"/>
                <w:sz w:val="21"/>
              </w:rPr>
              <w:t xml:space="preserve">VOCs </w:t>
            </w:r>
            <w:r>
              <w:rPr>
                <w:sz w:val="21"/>
              </w:rPr>
              <w:t>含量的溶剂型涂料、油墨、胶粘剂等项目。</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9"/>
              <w:ind w:left="108"/>
              <w:rPr>
                <w:sz w:val="21"/>
              </w:rPr>
            </w:pPr>
            <w:r>
              <w:rPr>
                <w:sz w:val="21"/>
              </w:rPr>
              <w:t>加强</w:t>
            </w:r>
            <w:r>
              <w:rPr>
                <w:rFonts w:ascii="Times New Roman" w:eastAsia="Times New Roman"/>
                <w:sz w:val="21"/>
              </w:rPr>
              <w:t xml:space="preserve">VOCs </w:t>
            </w:r>
            <w:r>
              <w:rPr>
                <w:sz w:val="21"/>
              </w:rPr>
              <w:t>排放监测以及开展</w:t>
            </w:r>
            <w:r>
              <w:rPr>
                <w:rFonts w:ascii="Times New Roman" w:eastAsia="Times New Roman"/>
                <w:sz w:val="21"/>
              </w:rPr>
              <w:t xml:space="preserve">VOCs </w:t>
            </w:r>
            <w:r>
              <w:rPr>
                <w:sz w:val="21"/>
              </w:rPr>
              <w:t>整治专项执法行动</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9"/>
              <w:ind w:left="108"/>
              <w:rPr>
                <w:sz w:val="21"/>
              </w:rPr>
            </w:pPr>
            <w:r>
              <w:rPr>
                <w:sz w:val="21"/>
              </w:rPr>
              <w:t>研究制定</w:t>
            </w:r>
            <w:r>
              <w:rPr>
                <w:rFonts w:ascii="Times New Roman" w:hAnsi="Times New Roman" w:eastAsia="Times New Roman"/>
                <w:sz w:val="21"/>
              </w:rPr>
              <w:t>“</w:t>
            </w:r>
            <w:r>
              <w:rPr>
                <w:sz w:val="21"/>
              </w:rPr>
              <w:t>散乱污</w:t>
            </w:r>
            <w:r>
              <w:rPr>
                <w:rFonts w:ascii="Times New Roman" w:hAnsi="Times New Roman" w:eastAsia="Times New Roman"/>
                <w:sz w:val="21"/>
              </w:rPr>
              <w:t>”</w:t>
            </w:r>
            <w:r>
              <w:rPr>
                <w:sz w:val="21"/>
              </w:rPr>
              <w:t>企业综合治理激励政策</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restart"/>
          </w:tcPr>
          <w:p>
            <w:pPr>
              <w:pStyle w:val="12"/>
              <w:rPr>
                <w:b/>
                <w:sz w:val="20"/>
              </w:rPr>
            </w:pPr>
          </w:p>
          <w:p>
            <w:pPr>
              <w:pStyle w:val="12"/>
              <w:rPr>
                <w:b/>
                <w:sz w:val="20"/>
              </w:rPr>
            </w:pPr>
          </w:p>
          <w:p>
            <w:pPr>
              <w:pStyle w:val="12"/>
              <w:spacing w:before="7"/>
              <w:rPr>
                <w:b/>
                <w:sz w:val="14"/>
              </w:rPr>
            </w:pPr>
          </w:p>
          <w:p>
            <w:pPr>
              <w:pStyle w:val="12"/>
              <w:spacing w:line="196" w:lineRule="auto"/>
              <w:ind w:left="108" w:right="189"/>
              <w:jc w:val="both"/>
              <w:rPr>
                <w:sz w:val="21"/>
              </w:rPr>
            </w:pPr>
            <w:r>
              <w:rPr>
                <w:sz w:val="21"/>
              </w:rPr>
              <w:t>燃煤和其他能源大气污染控制要求</w:t>
            </w:r>
          </w:p>
        </w:tc>
        <w:tc>
          <w:tcPr>
            <w:tcW w:w="11727" w:type="dxa"/>
          </w:tcPr>
          <w:p>
            <w:pPr>
              <w:pStyle w:val="12"/>
              <w:spacing w:before="8"/>
              <w:rPr>
                <w:b/>
                <w:sz w:val="15"/>
              </w:rPr>
            </w:pPr>
          </w:p>
          <w:p>
            <w:pPr>
              <w:pStyle w:val="12"/>
              <w:ind w:left="108"/>
              <w:rPr>
                <w:sz w:val="21"/>
              </w:rPr>
            </w:pPr>
            <w:r>
              <w:rPr>
                <w:sz w:val="21"/>
              </w:rPr>
              <w:t>在禁燃区内，禁止销售，燃用高污染燃料。</w:t>
            </w:r>
          </w:p>
        </w:tc>
        <w:tc>
          <w:tcPr>
            <w:tcW w:w="5943" w:type="dxa"/>
          </w:tcPr>
          <w:p>
            <w:pPr>
              <w:pStyle w:val="12"/>
              <w:spacing w:before="80" w:line="255" w:lineRule="exact"/>
              <w:ind w:left="109"/>
              <w:rPr>
                <w:sz w:val="21"/>
              </w:rPr>
            </w:pPr>
            <w:r>
              <w:rPr>
                <w:spacing w:val="-9"/>
                <w:sz w:val="21"/>
              </w:rPr>
              <w:t>《关于发布〈高污染燃料目录〉的通知》</w:t>
            </w:r>
            <w:r>
              <w:rPr>
                <w:sz w:val="21"/>
              </w:rPr>
              <w:t>（</w:t>
            </w:r>
            <w:r>
              <w:rPr>
                <w:spacing w:val="-3"/>
                <w:sz w:val="21"/>
              </w:rPr>
              <w:t>国环规大气〔</w:t>
            </w:r>
            <w:r>
              <w:rPr>
                <w:rFonts w:ascii="Times New Roman" w:eastAsia="Times New Roman"/>
                <w:sz w:val="21"/>
              </w:rPr>
              <w:t>2017</w:t>
            </w:r>
            <w:r>
              <w:rPr>
                <w:sz w:val="21"/>
              </w:rPr>
              <w:t>〕</w:t>
            </w:r>
          </w:p>
          <w:p>
            <w:pPr>
              <w:pStyle w:val="12"/>
              <w:spacing w:line="255" w:lineRule="exact"/>
              <w:ind w:left="109"/>
              <w:rPr>
                <w:sz w:val="21"/>
              </w:rPr>
            </w:pPr>
            <w:r>
              <w:rPr>
                <w:rFonts w:ascii="Times New Roman" w:eastAsia="Times New Roman"/>
                <w:sz w:val="21"/>
              </w:rPr>
              <w:t xml:space="preserve">2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
              <w:rPr>
                <w:b/>
                <w:sz w:val="15"/>
              </w:rPr>
            </w:pPr>
          </w:p>
          <w:p>
            <w:pPr>
              <w:pStyle w:val="12"/>
              <w:ind w:left="108"/>
              <w:rPr>
                <w:sz w:val="21"/>
              </w:rPr>
            </w:pPr>
            <w:r>
              <w:rPr>
                <w:sz w:val="21"/>
              </w:rPr>
              <w:t>新建耗煤项目实行煤炭减量替代。</w:t>
            </w:r>
          </w:p>
        </w:tc>
        <w:tc>
          <w:tcPr>
            <w:tcW w:w="5943" w:type="dxa"/>
          </w:tcPr>
          <w:p>
            <w:pPr>
              <w:pStyle w:val="12"/>
              <w:spacing w:before="82" w:line="253" w:lineRule="exact"/>
              <w:ind w:left="109" w:right="-15"/>
              <w:rPr>
                <w:sz w:val="21"/>
              </w:rPr>
            </w:pPr>
            <w:r>
              <w:rPr>
                <w:spacing w:val="-5"/>
                <w:sz w:val="21"/>
              </w:rPr>
              <w:t>《贵州省打赢蓝天保卫战三年行动计划》通知</w:t>
            </w:r>
            <w:r>
              <w:rPr>
                <w:spacing w:val="-3"/>
                <w:sz w:val="21"/>
              </w:rPr>
              <w:t>（</w:t>
            </w:r>
            <w:r>
              <w:rPr>
                <w:spacing w:val="-6"/>
                <w:sz w:val="21"/>
              </w:rPr>
              <w:t>黔府发〔</w:t>
            </w:r>
            <w:r>
              <w:rPr>
                <w:rFonts w:ascii="Times New Roman" w:eastAsia="Times New Roman"/>
                <w:sz w:val="21"/>
              </w:rPr>
              <w:t>2018</w:t>
            </w:r>
            <w:r>
              <w:rPr>
                <w:sz w:val="21"/>
              </w:rPr>
              <w:t>〕</w:t>
            </w:r>
          </w:p>
          <w:p>
            <w:pPr>
              <w:pStyle w:val="12"/>
              <w:spacing w:line="253" w:lineRule="exact"/>
              <w:ind w:left="109"/>
              <w:rPr>
                <w:sz w:val="21"/>
              </w:rPr>
            </w:pP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8"/>
              <w:rPr>
                <w:b/>
                <w:sz w:val="15"/>
              </w:rPr>
            </w:pPr>
          </w:p>
          <w:p>
            <w:pPr>
              <w:pStyle w:val="12"/>
              <w:ind w:left="108"/>
              <w:rPr>
                <w:sz w:val="21"/>
              </w:rPr>
            </w:pPr>
            <w:r>
              <w:rPr>
                <w:sz w:val="21"/>
              </w:rPr>
              <w:t>深入实施煤电机组超低排放和节能改造计划，鼓励火电行业开展主要大气污染物减半排放改造。</w:t>
            </w:r>
          </w:p>
        </w:tc>
        <w:tc>
          <w:tcPr>
            <w:tcW w:w="5943" w:type="dxa"/>
          </w:tcPr>
          <w:p>
            <w:pPr>
              <w:pStyle w:val="12"/>
              <w:spacing w:before="80" w:line="255" w:lineRule="exact"/>
              <w:ind w:left="109"/>
              <w:rPr>
                <w:sz w:val="21"/>
              </w:rPr>
            </w:pPr>
            <w:r>
              <w:rPr>
                <w:sz w:val="21"/>
              </w:rPr>
              <w:t>《贵州省</w:t>
            </w:r>
            <w:r>
              <w:rPr>
                <w:rFonts w:ascii="Times New Roman" w:hAnsi="Times New Roman" w:eastAsia="Times New Roman"/>
                <w:sz w:val="21"/>
              </w:rPr>
              <w:t>“</w:t>
            </w:r>
            <w:r>
              <w:rPr>
                <w:sz w:val="21"/>
              </w:rPr>
              <w:t>十三五</w:t>
            </w:r>
            <w:r>
              <w:rPr>
                <w:rFonts w:ascii="Times New Roman" w:hAnsi="Times New Roman" w:eastAsia="Times New Roman"/>
                <w:sz w:val="21"/>
              </w:rPr>
              <w:t>”</w:t>
            </w:r>
            <w:r>
              <w:rPr>
                <w:sz w:val="21"/>
              </w:rPr>
              <w:t>节能减排综合工作方案的通知》（黔府发</w:t>
            </w:r>
          </w:p>
          <w:p>
            <w:pPr>
              <w:pStyle w:val="12"/>
              <w:spacing w:line="255" w:lineRule="exact"/>
              <w:ind w:left="109"/>
              <w:rPr>
                <w:sz w:val="21"/>
              </w:rPr>
            </w:pPr>
            <w:r>
              <w:rPr>
                <w:sz w:val="21"/>
              </w:rPr>
              <w:t>〔</w:t>
            </w:r>
            <w:r>
              <w:rPr>
                <w:rFonts w:ascii="Times New Roman" w:eastAsia="Times New Roman"/>
                <w:sz w:val="21"/>
              </w:rPr>
              <w:t>2017</w:t>
            </w:r>
            <w:r>
              <w:rPr>
                <w:sz w:val="21"/>
              </w:rPr>
              <w:t>〕</w:t>
            </w: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4"/>
              <w:rPr>
                <w:b/>
                <w:sz w:val="29"/>
              </w:rPr>
            </w:pPr>
          </w:p>
          <w:p>
            <w:pPr>
              <w:pStyle w:val="12"/>
              <w:spacing w:before="1" w:line="194" w:lineRule="auto"/>
              <w:ind w:left="108" w:right="189"/>
              <w:rPr>
                <w:sz w:val="21"/>
              </w:rPr>
            </w:pPr>
            <w:r>
              <w:rPr>
                <w:sz w:val="21"/>
              </w:rPr>
              <w:t>工业废气污染控制要求</w:t>
            </w:r>
          </w:p>
        </w:tc>
        <w:tc>
          <w:tcPr>
            <w:tcW w:w="11727" w:type="dxa"/>
          </w:tcPr>
          <w:p>
            <w:pPr>
              <w:pStyle w:val="12"/>
              <w:spacing w:before="176"/>
              <w:ind w:left="108"/>
              <w:rPr>
                <w:sz w:val="21"/>
              </w:rPr>
            </w:pPr>
            <w:r>
              <w:rPr>
                <w:sz w:val="21"/>
              </w:rPr>
              <w:t>加快重点行业脱硫、脱硝和除尘改造工程建设。</w:t>
            </w:r>
          </w:p>
        </w:tc>
        <w:tc>
          <w:tcPr>
            <w:tcW w:w="5943" w:type="dxa"/>
            <w:vMerge w:val="restart"/>
          </w:tcPr>
          <w:p>
            <w:pPr>
              <w:pStyle w:val="12"/>
              <w:rPr>
                <w:b/>
                <w:sz w:val="20"/>
              </w:rPr>
            </w:pPr>
          </w:p>
          <w:p>
            <w:pPr>
              <w:pStyle w:val="12"/>
              <w:spacing w:before="149" w:line="213" w:lineRule="auto"/>
              <w:ind w:left="109" w:right="94"/>
              <w:rPr>
                <w:sz w:val="21"/>
              </w:rPr>
            </w:pPr>
            <w:r>
              <w:rPr>
                <w:spacing w:val="-3"/>
                <w:sz w:val="21"/>
              </w:rPr>
              <w:t>《贵州省大气污染防治行动计划实施方案</w:t>
            </w:r>
            <w:r>
              <w:rPr>
                <w:spacing w:val="-123"/>
                <w:sz w:val="21"/>
              </w:rPr>
              <w:t>》</w:t>
            </w:r>
            <w:r>
              <w:rPr>
                <w:sz w:val="21"/>
              </w:rPr>
              <w:t>（</w:t>
            </w:r>
            <w:r>
              <w:rPr>
                <w:spacing w:val="-6"/>
                <w:sz w:val="21"/>
              </w:rPr>
              <w:t>黔府发〔</w:t>
            </w:r>
            <w:r>
              <w:rPr>
                <w:rFonts w:ascii="Times New Roman" w:eastAsia="Times New Roman"/>
                <w:sz w:val="21"/>
              </w:rPr>
              <w:t>2014</w:t>
            </w:r>
            <w:r>
              <w:rPr>
                <w:spacing w:val="-20"/>
                <w:sz w:val="21"/>
              </w:rPr>
              <w:t>〕</w:t>
            </w:r>
            <w:r>
              <w:rPr>
                <w:rFonts w:ascii="Times New Roman" w:eastAsia="Times New Roman"/>
                <w:sz w:val="21"/>
              </w:rPr>
              <w:t xml:space="preserve">13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5" w:line="194" w:lineRule="auto"/>
              <w:ind w:left="108" w:right="96"/>
              <w:rPr>
                <w:sz w:val="21"/>
              </w:rPr>
            </w:pPr>
            <w:r>
              <w:rPr>
                <w:spacing w:val="-8"/>
                <w:sz w:val="21"/>
              </w:rPr>
              <w:t>推进挥发性有机物污染治理。在有机化工、医药、表面涂装、包装印刷等重点行业开展挥发性有机物综合治理。推广使用水性</w:t>
            </w:r>
            <w:r>
              <w:rPr>
                <w:spacing w:val="-5"/>
                <w:sz w:val="21"/>
              </w:rPr>
              <w:t>涂料，鼓励生产、销售和使用低毒、低挥发性有机溶剂。</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3" w:line="196" w:lineRule="auto"/>
              <w:ind w:left="108" w:right="96"/>
              <w:jc w:val="both"/>
              <w:rPr>
                <w:sz w:val="21"/>
              </w:rPr>
            </w:pPr>
            <w:r>
              <w:rPr>
                <w:spacing w:val="-6"/>
                <w:sz w:val="21"/>
              </w:rPr>
              <w:t>强化工业企业无组织排放管控，开展钢铁、建材、有色、火电、焦化、铸造等重点行业及燃煤锅炉无组织排放排查，建立管理</w:t>
            </w:r>
            <w:r>
              <w:rPr>
                <w:spacing w:val="-8"/>
                <w:sz w:val="21"/>
              </w:rPr>
              <w:t>台账，对物料</w:t>
            </w:r>
            <w:r>
              <w:rPr>
                <w:rFonts w:ascii="Times New Roman" w:eastAsia="Times New Roman"/>
                <w:sz w:val="21"/>
              </w:rPr>
              <w:t>(</w:t>
            </w:r>
            <w:r>
              <w:rPr>
                <w:spacing w:val="-2"/>
                <w:sz w:val="21"/>
              </w:rPr>
              <w:t>含废渣</w:t>
            </w:r>
            <w:r>
              <w:rPr>
                <w:rFonts w:ascii="Times New Roman" w:eastAsia="Times New Roman"/>
                <w:spacing w:val="-4"/>
                <w:sz w:val="21"/>
              </w:rPr>
              <w:t>)</w:t>
            </w:r>
            <w:r>
              <w:rPr>
                <w:spacing w:val="-11"/>
                <w:sz w:val="21"/>
              </w:rPr>
              <w:t xml:space="preserve">运输、装卸、储存、转移和工艺过程等无组织排放实施深度治理，重点区域 </w:t>
            </w:r>
            <w:r>
              <w:rPr>
                <w:rFonts w:ascii="Times New Roman" w:eastAsia="Times New Roman"/>
                <w:sz w:val="21"/>
              </w:rPr>
              <w:t xml:space="preserve">2019 </w:t>
            </w:r>
            <w:r>
              <w:rPr>
                <w:spacing w:val="-10"/>
                <w:sz w:val="21"/>
              </w:rPr>
              <w:t xml:space="preserve">年底前完成，全省 </w:t>
            </w:r>
            <w:r>
              <w:rPr>
                <w:rFonts w:ascii="Times New Roman" w:eastAsia="Times New Roman"/>
                <w:sz w:val="21"/>
              </w:rPr>
              <w:t xml:space="preserve">2020 </w:t>
            </w:r>
            <w:r>
              <w:rPr>
                <w:spacing w:val="-3"/>
                <w:sz w:val="21"/>
              </w:rPr>
              <w:t>年底前基本完成。</w:t>
            </w:r>
          </w:p>
        </w:tc>
        <w:tc>
          <w:tcPr>
            <w:tcW w:w="5943" w:type="dxa"/>
            <w:vMerge w:val="restart"/>
          </w:tcPr>
          <w:p>
            <w:pPr>
              <w:pStyle w:val="12"/>
              <w:rPr>
                <w:b/>
              </w:rPr>
            </w:pPr>
          </w:p>
          <w:p>
            <w:pPr>
              <w:pStyle w:val="12"/>
              <w:spacing w:before="1"/>
              <w:rPr>
                <w:b/>
                <w:sz w:val="25"/>
              </w:rPr>
            </w:pPr>
          </w:p>
          <w:p>
            <w:pPr>
              <w:pStyle w:val="12"/>
              <w:spacing w:line="255" w:lineRule="exact"/>
              <w:ind w:left="109" w:right="-15"/>
              <w:rPr>
                <w:sz w:val="21"/>
              </w:rPr>
            </w:pPr>
            <w:r>
              <w:rPr>
                <w:spacing w:val="-5"/>
                <w:sz w:val="21"/>
              </w:rPr>
              <w:t>《贵州省打赢蓝天保卫战三年行动计划》通知</w:t>
            </w:r>
            <w:r>
              <w:rPr>
                <w:spacing w:val="-3"/>
                <w:sz w:val="21"/>
              </w:rPr>
              <w:t>（</w:t>
            </w:r>
            <w:r>
              <w:rPr>
                <w:spacing w:val="-6"/>
                <w:sz w:val="21"/>
              </w:rPr>
              <w:t>黔府发〔</w:t>
            </w:r>
            <w:r>
              <w:rPr>
                <w:rFonts w:ascii="Times New Roman" w:eastAsia="Times New Roman"/>
                <w:sz w:val="21"/>
              </w:rPr>
              <w:t>2018</w:t>
            </w:r>
            <w:r>
              <w:rPr>
                <w:sz w:val="21"/>
              </w:rPr>
              <w:t>〕</w:t>
            </w:r>
          </w:p>
          <w:p>
            <w:pPr>
              <w:pStyle w:val="12"/>
              <w:spacing w:line="255" w:lineRule="exact"/>
              <w:ind w:left="109"/>
              <w:rPr>
                <w:sz w:val="21"/>
              </w:rPr>
            </w:pP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74"/>
              <w:ind w:left="108"/>
              <w:rPr>
                <w:sz w:val="21"/>
              </w:rPr>
            </w:pPr>
            <w:r>
              <w:rPr>
                <w:sz w:val="21"/>
              </w:rPr>
              <w:t>对开发区、工业园区、高新区等进行集中整治，限期进行达标改造，减少工业集聚区污染。</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5" w:line="194" w:lineRule="auto"/>
              <w:ind w:left="108" w:right="96"/>
              <w:rPr>
                <w:sz w:val="21"/>
              </w:rPr>
            </w:pPr>
            <w:r>
              <w:rPr>
                <w:spacing w:val="-6"/>
                <w:sz w:val="21"/>
              </w:rPr>
              <w:t>制定钢铁、水泥、化工、有色金属冶炼等重点行业清洁生产审核分年度实施计划，推进钢铁、水泥、化工、有色金属冶炼等行</w:t>
            </w:r>
            <w:r>
              <w:rPr>
                <w:spacing w:val="-4"/>
                <w:sz w:val="21"/>
              </w:rPr>
              <w:t>业清洁生产审核。</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95"/>
              <w:ind w:left="108"/>
              <w:rPr>
                <w:rFonts w:ascii="Times New Roman" w:eastAsia="Times New Roman"/>
                <w:sz w:val="21"/>
              </w:rPr>
            </w:pPr>
            <w:r>
              <w:rPr>
                <w:sz w:val="21"/>
              </w:rPr>
              <w:t>深入实施煤电机组超低排放和节能改造计划，鼓励火电行业开展主要大气污染物减半排放改造</w:t>
            </w:r>
            <w:r>
              <w:rPr>
                <w:rFonts w:ascii="Times New Roman" w:eastAsia="Times New Roman"/>
                <w:sz w:val="21"/>
              </w:rPr>
              <w:t>.</w:t>
            </w:r>
          </w:p>
        </w:tc>
        <w:tc>
          <w:tcPr>
            <w:tcW w:w="5943" w:type="dxa"/>
          </w:tcPr>
          <w:p>
            <w:pPr>
              <w:pStyle w:val="12"/>
              <w:spacing w:before="80" w:line="253" w:lineRule="exact"/>
              <w:ind w:left="109"/>
              <w:rPr>
                <w:sz w:val="21"/>
              </w:rPr>
            </w:pPr>
            <w:r>
              <w:rPr>
                <w:sz w:val="21"/>
              </w:rPr>
              <w:t>《贵州省</w:t>
            </w:r>
            <w:r>
              <w:rPr>
                <w:rFonts w:ascii="Times New Roman" w:hAnsi="Times New Roman" w:eastAsia="Times New Roman"/>
                <w:sz w:val="21"/>
              </w:rPr>
              <w:t>“</w:t>
            </w:r>
            <w:r>
              <w:rPr>
                <w:sz w:val="21"/>
              </w:rPr>
              <w:t>十三五</w:t>
            </w:r>
            <w:r>
              <w:rPr>
                <w:rFonts w:ascii="Times New Roman" w:hAnsi="Times New Roman" w:eastAsia="Times New Roman"/>
                <w:sz w:val="21"/>
              </w:rPr>
              <w:t>”</w:t>
            </w:r>
            <w:r>
              <w:rPr>
                <w:sz w:val="21"/>
              </w:rPr>
              <w:t>节能减排综合工作方案的通知》（黔府发</w:t>
            </w:r>
          </w:p>
          <w:p>
            <w:pPr>
              <w:pStyle w:val="12"/>
              <w:spacing w:line="253" w:lineRule="exact"/>
              <w:ind w:left="109"/>
              <w:rPr>
                <w:sz w:val="21"/>
              </w:rPr>
            </w:pPr>
            <w:r>
              <w:rPr>
                <w:sz w:val="21"/>
              </w:rPr>
              <w:t>〔</w:t>
            </w:r>
            <w:r>
              <w:rPr>
                <w:rFonts w:ascii="Times New Roman" w:eastAsia="Times New Roman"/>
                <w:sz w:val="21"/>
              </w:rPr>
              <w:t>2017</w:t>
            </w:r>
            <w:r>
              <w:rPr>
                <w:sz w:val="21"/>
              </w:rPr>
              <w:t>〕</w:t>
            </w: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5" w:line="194" w:lineRule="auto"/>
              <w:ind w:left="108" w:right="97"/>
              <w:rPr>
                <w:sz w:val="21"/>
              </w:rPr>
            </w:pPr>
            <w:r>
              <w:rPr>
                <w:spacing w:val="-6"/>
                <w:sz w:val="21"/>
              </w:rPr>
              <w:t xml:space="preserve">煤化工行业实施烟气治理，确保焦炉煤气硫化氢脱除效率达到 </w:t>
            </w:r>
            <w:r>
              <w:rPr>
                <w:rFonts w:ascii="Times New Roman" w:eastAsia="Times New Roman"/>
                <w:sz w:val="21"/>
              </w:rPr>
              <w:t>99%</w:t>
            </w:r>
            <w:r>
              <w:rPr>
                <w:spacing w:val="-6"/>
                <w:sz w:val="21"/>
              </w:rPr>
              <w:t>以上，直接燃烧的应安装脱硫设施。加强有色行业富余烟气治理，</w:t>
            </w:r>
            <w:r>
              <w:rPr>
                <w:rFonts w:ascii="Times New Roman" w:eastAsia="Times New Roman"/>
                <w:spacing w:val="-6"/>
                <w:sz w:val="21"/>
              </w:rPr>
              <w:t>SO</w:t>
            </w:r>
            <w:r>
              <w:rPr>
                <w:rFonts w:ascii="Times New Roman" w:eastAsia="Times New Roman"/>
                <w:spacing w:val="-6"/>
                <w:sz w:val="21"/>
                <w:vertAlign w:val="subscript"/>
              </w:rPr>
              <w:t>2</w:t>
            </w:r>
            <w:r>
              <w:rPr>
                <w:rFonts w:ascii="Times New Roman" w:eastAsia="Times New Roman"/>
                <w:spacing w:val="-6"/>
                <w:sz w:val="21"/>
              </w:rPr>
              <w:t xml:space="preserve"> </w:t>
            </w:r>
            <w:r>
              <w:rPr>
                <w:spacing w:val="-13"/>
                <w:sz w:val="21"/>
              </w:rPr>
              <w:t xml:space="preserve">含量大于 </w:t>
            </w:r>
            <w:r>
              <w:rPr>
                <w:rFonts w:ascii="Times New Roman" w:eastAsia="Times New Roman"/>
                <w:sz w:val="21"/>
              </w:rPr>
              <w:t>3.5%</w:t>
            </w:r>
            <w:r>
              <w:rPr>
                <w:spacing w:val="-3"/>
                <w:sz w:val="21"/>
              </w:rPr>
              <w:t>的烟气，要采取有效措施进行脱硫。</w:t>
            </w:r>
          </w:p>
        </w:tc>
        <w:tc>
          <w:tcPr>
            <w:tcW w:w="5943" w:type="dxa"/>
          </w:tcPr>
          <w:p>
            <w:pPr>
              <w:pStyle w:val="12"/>
              <w:spacing w:before="176"/>
              <w:ind w:left="109"/>
              <w:rPr>
                <w:sz w:val="21"/>
              </w:rPr>
            </w:pPr>
            <w:r>
              <w:rPr>
                <w:sz w:val="21"/>
              </w:rPr>
              <w:t>《贵州省十三五环境保护规划》（</w:t>
            </w:r>
            <w:r>
              <w:rPr>
                <w:rFonts w:ascii="Times New Roman" w:eastAsia="Times New Roman"/>
                <w:sz w:val="21"/>
              </w:rPr>
              <w:t>2016</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restart"/>
          </w:tcPr>
          <w:p>
            <w:pPr>
              <w:pStyle w:val="12"/>
              <w:rPr>
                <w:b/>
                <w:sz w:val="20"/>
              </w:rPr>
            </w:pPr>
          </w:p>
          <w:p>
            <w:pPr>
              <w:pStyle w:val="12"/>
              <w:rPr>
                <w:b/>
                <w:sz w:val="20"/>
              </w:rPr>
            </w:pPr>
          </w:p>
          <w:p>
            <w:pPr>
              <w:pStyle w:val="12"/>
              <w:rPr>
                <w:b/>
                <w:sz w:val="20"/>
              </w:rPr>
            </w:pPr>
          </w:p>
          <w:p>
            <w:pPr>
              <w:pStyle w:val="12"/>
              <w:spacing w:before="5"/>
              <w:rPr>
                <w:b/>
                <w:sz w:val="26"/>
              </w:rPr>
            </w:pPr>
          </w:p>
          <w:p>
            <w:pPr>
              <w:pStyle w:val="12"/>
              <w:spacing w:line="196" w:lineRule="auto"/>
              <w:ind w:left="108" w:right="189"/>
              <w:rPr>
                <w:sz w:val="21"/>
              </w:rPr>
            </w:pPr>
            <w:r>
              <w:rPr>
                <w:sz w:val="21"/>
              </w:rPr>
              <w:t>机动车船大气污染控制要求</w:t>
            </w:r>
          </w:p>
        </w:tc>
        <w:tc>
          <w:tcPr>
            <w:tcW w:w="11727" w:type="dxa"/>
          </w:tcPr>
          <w:p>
            <w:pPr>
              <w:pStyle w:val="12"/>
              <w:spacing w:before="3"/>
              <w:rPr>
                <w:b/>
                <w:sz w:val="15"/>
              </w:rPr>
            </w:pPr>
          </w:p>
          <w:p>
            <w:pPr>
              <w:pStyle w:val="12"/>
              <w:spacing w:before="1"/>
              <w:ind w:left="108"/>
              <w:rPr>
                <w:sz w:val="21"/>
              </w:rPr>
            </w:pPr>
            <w:r>
              <w:rPr>
                <w:sz w:val="21"/>
              </w:rPr>
              <w:t>推广使用新能源汽车。</w:t>
            </w:r>
          </w:p>
        </w:tc>
        <w:tc>
          <w:tcPr>
            <w:tcW w:w="5943" w:type="dxa"/>
          </w:tcPr>
          <w:p>
            <w:pPr>
              <w:pStyle w:val="12"/>
              <w:spacing w:before="104" w:line="213" w:lineRule="auto"/>
              <w:ind w:left="109" w:right="94"/>
              <w:rPr>
                <w:sz w:val="21"/>
              </w:rPr>
            </w:pPr>
            <w:r>
              <w:rPr>
                <w:spacing w:val="-3"/>
                <w:sz w:val="21"/>
              </w:rPr>
              <w:t>《贵州省大气污染防治行动计划实施方案</w:t>
            </w:r>
            <w:r>
              <w:rPr>
                <w:spacing w:val="-123"/>
                <w:sz w:val="21"/>
              </w:rPr>
              <w:t>》</w:t>
            </w:r>
            <w:r>
              <w:rPr>
                <w:sz w:val="21"/>
              </w:rPr>
              <w:t>（</w:t>
            </w:r>
            <w:r>
              <w:rPr>
                <w:spacing w:val="-6"/>
                <w:sz w:val="21"/>
              </w:rPr>
              <w:t>黔府发〔</w:t>
            </w:r>
            <w:r>
              <w:rPr>
                <w:rFonts w:ascii="Times New Roman" w:eastAsia="Times New Roman"/>
                <w:sz w:val="21"/>
              </w:rPr>
              <w:t>2014</w:t>
            </w:r>
            <w:r>
              <w:rPr>
                <w:spacing w:val="-20"/>
                <w:sz w:val="21"/>
              </w:rPr>
              <w:t>〕</w:t>
            </w:r>
            <w:r>
              <w:rPr>
                <w:rFonts w:ascii="Times New Roman" w:eastAsia="Times New Roman"/>
                <w:sz w:val="21"/>
              </w:rPr>
              <w:t xml:space="preserve">13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1"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03" w:line="196" w:lineRule="auto"/>
              <w:ind w:left="108" w:right="55"/>
              <w:jc w:val="both"/>
              <w:rPr>
                <w:sz w:val="21"/>
              </w:rPr>
            </w:pPr>
            <w:r>
              <w:rPr>
                <w:spacing w:val="-3"/>
                <w:sz w:val="21"/>
              </w:rPr>
              <w:t>制定营运柴油货车和燃气车辆提前淘汰更新目标及实施计划，大力淘汰老旧车辆。根据具体情况，采取经济补偿、限制使用、</w:t>
            </w:r>
            <w:r>
              <w:rPr>
                <w:spacing w:val="-5"/>
                <w:sz w:val="21"/>
              </w:rPr>
              <w:t>严格超标排放监管等方式，大力推进国三及以下排放标准营运柴油货车提前淘汰更新，加快淘汰采用稀薄燃烧技术和</w:t>
            </w:r>
            <w:r>
              <w:rPr>
                <w:rFonts w:ascii="Times New Roman" w:hAnsi="Times New Roman" w:eastAsia="Times New Roman"/>
                <w:sz w:val="21"/>
              </w:rPr>
              <w:t>“</w:t>
            </w:r>
            <w:r>
              <w:rPr>
                <w:spacing w:val="-3"/>
                <w:sz w:val="21"/>
              </w:rPr>
              <w:t>油改气</w:t>
            </w:r>
            <w:r>
              <w:rPr>
                <w:rFonts w:ascii="Times New Roman" w:hAnsi="Times New Roman" w:eastAsia="Times New Roman"/>
                <w:sz w:val="21"/>
              </w:rPr>
              <w:t xml:space="preserve">” </w:t>
            </w:r>
            <w:r>
              <w:rPr>
                <w:spacing w:val="-3"/>
                <w:sz w:val="21"/>
              </w:rPr>
              <w:t>的老旧燃气车辆。</w:t>
            </w:r>
          </w:p>
        </w:tc>
        <w:tc>
          <w:tcPr>
            <w:tcW w:w="5943" w:type="dxa"/>
            <w:vMerge w:val="restart"/>
          </w:tcPr>
          <w:p>
            <w:pPr>
              <w:pStyle w:val="12"/>
              <w:spacing w:before="190" w:line="253" w:lineRule="exact"/>
              <w:ind w:left="109" w:right="-15"/>
              <w:rPr>
                <w:sz w:val="21"/>
              </w:rPr>
            </w:pPr>
            <w:r>
              <w:rPr>
                <w:spacing w:val="-5"/>
                <w:sz w:val="21"/>
              </w:rPr>
              <w:t>《贵州省打赢蓝天保卫战三年行动计划》通知</w:t>
            </w:r>
            <w:r>
              <w:rPr>
                <w:spacing w:val="-3"/>
                <w:sz w:val="21"/>
              </w:rPr>
              <w:t>（</w:t>
            </w:r>
            <w:r>
              <w:rPr>
                <w:spacing w:val="-6"/>
                <w:sz w:val="21"/>
              </w:rPr>
              <w:t>黔府发〔</w:t>
            </w:r>
            <w:r>
              <w:rPr>
                <w:rFonts w:ascii="Times New Roman" w:eastAsia="Times New Roman"/>
                <w:sz w:val="21"/>
              </w:rPr>
              <w:t>2018</w:t>
            </w:r>
            <w:r>
              <w:rPr>
                <w:sz w:val="21"/>
              </w:rPr>
              <w:t>〕</w:t>
            </w:r>
          </w:p>
          <w:p>
            <w:pPr>
              <w:pStyle w:val="12"/>
              <w:spacing w:line="253" w:lineRule="exact"/>
              <w:ind w:left="109"/>
              <w:rPr>
                <w:sz w:val="21"/>
              </w:rPr>
            </w:pP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82"/>
              <w:ind w:left="108"/>
              <w:rPr>
                <w:sz w:val="21"/>
              </w:rPr>
            </w:pPr>
            <w:r>
              <w:rPr>
                <w:sz w:val="21"/>
              </w:rPr>
              <w:t>加快油品质量升级。</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95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1567" w:type="dxa"/>
            <w:vMerge w:val="continue"/>
            <w:tcBorders>
              <w:top w:val="nil"/>
            </w:tcBorders>
          </w:tcPr>
          <w:p>
            <w:pPr>
              <w:rPr>
                <w:sz w:val="2"/>
                <w:szCs w:val="2"/>
              </w:rPr>
            </w:pPr>
          </w:p>
        </w:tc>
        <w:tc>
          <w:tcPr>
            <w:tcW w:w="11727" w:type="dxa"/>
          </w:tcPr>
          <w:p>
            <w:pPr>
              <w:pStyle w:val="12"/>
              <w:spacing w:before="176"/>
              <w:ind w:left="108"/>
              <w:rPr>
                <w:sz w:val="21"/>
              </w:rPr>
            </w:pPr>
            <w:r>
              <w:rPr>
                <w:sz w:val="21"/>
              </w:rPr>
              <w:t>加强移动源污染防治。</w:t>
            </w:r>
          </w:p>
        </w:tc>
        <w:tc>
          <w:tcPr>
            <w:tcW w:w="5943" w:type="dxa"/>
          </w:tcPr>
          <w:p>
            <w:pPr>
              <w:pStyle w:val="12"/>
              <w:spacing w:before="108" w:line="194" w:lineRule="auto"/>
              <w:ind w:left="109" w:right="94"/>
              <w:rPr>
                <w:sz w:val="21"/>
              </w:rPr>
            </w:pPr>
            <w:r>
              <w:rPr>
                <w:spacing w:val="-3"/>
                <w:sz w:val="21"/>
              </w:rPr>
              <w:t>《贵州省大气污染防治行动计划实施方案</w:t>
            </w:r>
            <w:r>
              <w:rPr>
                <w:spacing w:val="-123"/>
                <w:sz w:val="21"/>
              </w:rPr>
              <w:t>》</w:t>
            </w:r>
            <w:r>
              <w:rPr>
                <w:sz w:val="21"/>
              </w:rPr>
              <w:t>（</w:t>
            </w:r>
            <w:r>
              <w:rPr>
                <w:spacing w:val="-6"/>
                <w:sz w:val="21"/>
              </w:rPr>
              <w:t>黔府发〔</w:t>
            </w:r>
            <w:r>
              <w:rPr>
                <w:rFonts w:ascii="Times New Roman" w:eastAsia="Times New Roman"/>
                <w:sz w:val="21"/>
              </w:rPr>
              <w:t>2014</w:t>
            </w:r>
            <w:r>
              <w:rPr>
                <w:spacing w:val="-20"/>
                <w:sz w:val="21"/>
              </w:rPr>
              <w:t>〕</w:t>
            </w:r>
            <w:r>
              <w:rPr>
                <w:rFonts w:ascii="Times New Roman" w:eastAsia="Times New Roman"/>
                <w:sz w:val="21"/>
              </w:rPr>
              <w:t xml:space="preserve">13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950" w:type="dxa"/>
            <w:vMerge w:val="continue"/>
            <w:tcBorders>
              <w:top w:val="nil"/>
            </w:tcBorders>
          </w:tcPr>
          <w:p>
            <w:pPr>
              <w:rPr>
                <w:sz w:val="2"/>
                <w:szCs w:val="2"/>
              </w:rPr>
            </w:pPr>
          </w:p>
        </w:tc>
        <w:tc>
          <w:tcPr>
            <w:tcW w:w="2561" w:type="dxa"/>
            <w:gridSpan w:val="2"/>
          </w:tcPr>
          <w:p>
            <w:pPr>
              <w:pStyle w:val="12"/>
              <w:spacing w:before="3"/>
              <w:rPr>
                <w:b/>
                <w:sz w:val="15"/>
              </w:rPr>
            </w:pPr>
          </w:p>
          <w:p>
            <w:pPr>
              <w:pStyle w:val="12"/>
              <w:ind w:left="651"/>
              <w:rPr>
                <w:sz w:val="21"/>
              </w:rPr>
            </w:pPr>
            <w:r>
              <w:rPr>
                <w:sz w:val="21"/>
              </w:rPr>
              <w:t>环境风险防控</w:t>
            </w:r>
          </w:p>
        </w:tc>
        <w:tc>
          <w:tcPr>
            <w:tcW w:w="11727" w:type="dxa"/>
          </w:tcPr>
          <w:p>
            <w:pPr>
              <w:pStyle w:val="12"/>
              <w:spacing w:before="3"/>
              <w:rPr>
                <w:b/>
                <w:sz w:val="15"/>
              </w:rPr>
            </w:pPr>
          </w:p>
          <w:p>
            <w:pPr>
              <w:pStyle w:val="12"/>
              <w:ind w:left="108"/>
              <w:rPr>
                <w:sz w:val="21"/>
              </w:rPr>
            </w:pPr>
            <w:r>
              <w:rPr>
                <w:sz w:val="21"/>
              </w:rPr>
              <w:t>加快城市建成区重污染企业、危险化学品企业搬迁入园改造或关闭退出。</w:t>
            </w:r>
          </w:p>
        </w:tc>
        <w:tc>
          <w:tcPr>
            <w:tcW w:w="5943" w:type="dxa"/>
          </w:tcPr>
          <w:p>
            <w:pPr>
              <w:pStyle w:val="12"/>
              <w:spacing w:before="80" w:line="255" w:lineRule="exact"/>
              <w:ind w:left="109" w:right="-15"/>
              <w:rPr>
                <w:sz w:val="21"/>
              </w:rPr>
            </w:pPr>
            <w:r>
              <w:rPr>
                <w:spacing w:val="-5"/>
                <w:sz w:val="21"/>
              </w:rPr>
              <w:t>《贵州省打赢蓝天保卫战三年行动计划》通知</w:t>
            </w:r>
            <w:r>
              <w:rPr>
                <w:spacing w:val="-3"/>
                <w:sz w:val="21"/>
              </w:rPr>
              <w:t>（</w:t>
            </w:r>
            <w:r>
              <w:rPr>
                <w:spacing w:val="-6"/>
                <w:sz w:val="21"/>
              </w:rPr>
              <w:t>黔府发〔</w:t>
            </w:r>
            <w:r>
              <w:rPr>
                <w:rFonts w:ascii="Times New Roman" w:eastAsia="Times New Roman"/>
                <w:sz w:val="21"/>
              </w:rPr>
              <w:t>2018</w:t>
            </w:r>
            <w:r>
              <w:rPr>
                <w:sz w:val="21"/>
              </w:rPr>
              <w:t>〕</w:t>
            </w:r>
          </w:p>
          <w:p>
            <w:pPr>
              <w:pStyle w:val="12"/>
              <w:spacing w:line="255" w:lineRule="exact"/>
              <w:ind w:left="109"/>
              <w:rPr>
                <w:sz w:val="21"/>
              </w:rPr>
            </w:pPr>
            <w:r>
              <w:rPr>
                <w:rFonts w:ascii="Times New Roman" w:eastAsia="Times New Roman"/>
                <w:sz w:val="21"/>
              </w:rPr>
              <w:t xml:space="preserve">26 </w:t>
            </w:r>
            <w:r>
              <w:rPr>
                <w:sz w:val="21"/>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950" w:type="dxa"/>
            <w:vMerge w:val="continue"/>
            <w:tcBorders>
              <w:top w:val="nil"/>
            </w:tcBorders>
          </w:tcPr>
          <w:p>
            <w:pPr>
              <w:rPr>
                <w:sz w:val="2"/>
                <w:szCs w:val="2"/>
              </w:rPr>
            </w:pPr>
          </w:p>
        </w:tc>
        <w:tc>
          <w:tcPr>
            <w:tcW w:w="2561" w:type="dxa"/>
            <w:gridSpan w:val="2"/>
          </w:tcPr>
          <w:p>
            <w:pPr>
              <w:pStyle w:val="12"/>
              <w:spacing w:before="176"/>
              <w:ind w:left="442"/>
              <w:rPr>
                <w:sz w:val="21"/>
              </w:rPr>
            </w:pPr>
            <w:r>
              <w:rPr>
                <w:sz w:val="21"/>
              </w:rPr>
              <w:t>资源开发效率要求</w:t>
            </w:r>
          </w:p>
        </w:tc>
        <w:tc>
          <w:tcPr>
            <w:tcW w:w="11727" w:type="dxa"/>
          </w:tcPr>
          <w:p>
            <w:pPr>
              <w:pStyle w:val="12"/>
              <w:spacing w:before="176"/>
              <w:ind w:left="108"/>
              <w:rPr>
                <w:sz w:val="21"/>
              </w:rPr>
            </w:pPr>
            <w:r>
              <w:rPr>
                <w:sz w:val="21"/>
              </w:rPr>
              <w:t>到 2020 年，战略性新兴产业增加值占 GDP 比重达 8%。</w:t>
            </w:r>
          </w:p>
        </w:tc>
        <w:tc>
          <w:tcPr>
            <w:tcW w:w="5943" w:type="dxa"/>
          </w:tcPr>
          <w:p>
            <w:pPr>
              <w:pStyle w:val="12"/>
              <w:spacing w:before="66" w:line="244" w:lineRule="exact"/>
              <w:ind w:left="109"/>
              <w:rPr>
                <w:sz w:val="21"/>
              </w:rPr>
            </w:pPr>
            <w:r>
              <w:rPr>
                <w:sz w:val="21"/>
              </w:rPr>
              <w:t>《贵州省“十三五”节能减排综合工作方案的通知》（黔府发</w:t>
            </w:r>
          </w:p>
          <w:p>
            <w:pPr>
              <w:pStyle w:val="12"/>
              <w:spacing w:line="244" w:lineRule="exact"/>
              <w:ind w:left="109"/>
              <w:rPr>
                <w:sz w:val="21"/>
              </w:rPr>
            </w:pPr>
            <w:r>
              <w:rPr>
                <w:sz w:val="21"/>
              </w:rPr>
              <w:t>〔2017〕26 号） 府发〔2017〕6 号)）</w:t>
            </w:r>
          </w:p>
        </w:tc>
      </w:tr>
    </w:tbl>
    <w:p>
      <w:pPr>
        <w:spacing w:line="244" w:lineRule="exact"/>
        <w:rPr>
          <w:sz w:val="21"/>
        </w:rPr>
        <w:sectPr>
          <w:pgSz w:w="23760" w:h="16790" w:orient="landscape"/>
          <w:pgMar w:top="1080" w:right="660" w:bottom="1080" w:left="860" w:header="0" w:footer="894" w:gutter="0"/>
          <w:cols w:space="720" w:num="1"/>
        </w:sectPr>
      </w:pPr>
    </w:p>
    <w:tbl>
      <w:tblPr>
        <w:tblStyle w:val="3"/>
        <w:tblW w:w="21181" w:type="dxa"/>
        <w:tblInd w:w="4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2561"/>
        <w:gridCol w:w="11727"/>
        <w:gridCol w:w="5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950" w:type="dxa"/>
          </w:tcPr>
          <w:p>
            <w:pPr>
              <w:pStyle w:val="12"/>
              <w:spacing w:before="92"/>
              <w:ind w:left="271"/>
              <w:rPr>
                <w:b/>
                <w:sz w:val="21"/>
              </w:rPr>
            </w:pPr>
            <w:r>
              <w:rPr>
                <w:b/>
                <w:sz w:val="21"/>
              </w:rPr>
              <w:t>分类</w:t>
            </w:r>
          </w:p>
        </w:tc>
        <w:tc>
          <w:tcPr>
            <w:tcW w:w="2561" w:type="dxa"/>
          </w:tcPr>
          <w:p>
            <w:pPr>
              <w:pStyle w:val="12"/>
              <w:spacing w:before="92"/>
              <w:ind w:left="1051" w:right="1028"/>
              <w:jc w:val="center"/>
              <w:rPr>
                <w:b/>
                <w:sz w:val="21"/>
              </w:rPr>
            </w:pPr>
            <w:r>
              <w:rPr>
                <w:b/>
                <w:sz w:val="21"/>
              </w:rPr>
              <w:t>管控</w:t>
            </w:r>
          </w:p>
        </w:tc>
        <w:tc>
          <w:tcPr>
            <w:tcW w:w="11727" w:type="dxa"/>
          </w:tcPr>
          <w:p>
            <w:pPr>
              <w:pStyle w:val="12"/>
              <w:spacing w:before="92"/>
              <w:ind w:left="5422" w:right="5401"/>
              <w:jc w:val="center"/>
              <w:rPr>
                <w:b/>
                <w:sz w:val="21"/>
              </w:rPr>
            </w:pPr>
            <w:r>
              <w:rPr>
                <w:b/>
                <w:sz w:val="21"/>
              </w:rPr>
              <w:t>管控要求</w:t>
            </w:r>
          </w:p>
        </w:tc>
        <w:tc>
          <w:tcPr>
            <w:tcW w:w="5943" w:type="dxa"/>
          </w:tcPr>
          <w:p>
            <w:pPr>
              <w:pStyle w:val="12"/>
              <w:spacing w:before="82"/>
              <w:ind w:left="2320" w:right="2299"/>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0" w:type="dxa"/>
            <w:vMerge w:val="restart"/>
            <w:tcBorders>
              <w:bottom w:val="single" w:color="000000" w:sz="8" w:space="0"/>
            </w:tcBorders>
          </w:tcPr>
          <w:p>
            <w:pPr>
              <w:pStyle w:val="12"/>
              <w:rPr>
                <w:rFonts w:ascii="Times New Roman"/>
                <w:sz w:val="20"/>
              </w:rPr>
            </w:pPr>
          </w:p>
        </w:tc>
        <w:tc>
          <w:tcPr>
            <w:tcW w:w="2561" w:type="dxa"/>
            <w:vMerge w:val="restart"/>
            <w:tcBorders>
              <w:bottom w:val="single" w:color="000000" w:sz="8" w:space="0"/>
            </w:tcBorders>
          </w:tcPr>
          <w:p>
            <w:pPr>
              <w:pStyle w:val="12"/>
              <w:rPr>
                <w:rFonts w:ascii="Times New Roman"/>
                <w:sz w:val="20"/>
              </w:rPr>
            </w:pPr>
          </w:p>
        </w:tc>
        <w:tc>
          <w:tcPr>
            <w:tcW w:w="11727" w:type="dxa"/>
          </w:tcPr>
          <w:p>
            <w:pPr>
              <w:pStyle w:val="12"/>
              <w:spacing w:before="176"/>
              <w:ind w:left="115"/>
              <w:rPr>
                <w:sz w:val="21"/>
              </w:rPr>
            </w:pPr>
            <w:r>
              <w:rPr>
                <w:sz w:val="21"/>
              </w:rPr>
              <w:t>到 2020 年，规模以上工业企业单位增加值能耗比 2015 年降低 18%。</w:t>
            </w:r>
          </w:p>
        </w:tc>
        <w:tc>
          <w:tcPr>
            <w:tcW w:w="5943" w:type="dxa"/>
          </w:tcPr>
          <w:p>
            <w:pPr>
              <w:pStyle w:val="12"/>
              <w:spacing w:before="66" w:line="244" w:lineRule="exact"/>
              <w:ind w:left="116"/>
              <w:rPr>
                <w:sz w:val="21"/>
              </w:rPr>
            </w:pPr>
            <w:r>
              <w:rPr>
                <w:sz w:val="21"/>
              </w:rPr>
              <w:t>《贵州省“十三五”节能减排综合工作方案的通知》（黔府发</w:t>
            </w:r>
          </w:p>
          <w:p>
            <w:pPr>
              <w:pStyle w:val="12"/>
              <w:spacing w:line="244" w:lineRule="exact"/>
              <w:ind w:left="116"/>
              <w:rPr>
                <w:sz w:val="21"/>
              </w:rPr>
            </w:pPr>
            <w:r>
              <w:rPr>
                <w:sz w:val="21"/>
              </w:rPr>
              <w:t>〔2017〕26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50" w:type="dxa"/>
            <w:vMerge w:val="continue"/>
            <w:tcBorders>
              <w:top w:val="nil"/>
              <w:bottom w:val="single" w:color="000000" w:sz="8" w:space="0"/>
            </w:tcBorders>
          </w:tcPr>
          <w:p>
            <w:pPr>
              <w:rPr>
                <w:sz w:val="2"/>
                <w:szCs w:val="2"/>
              </w:rPr>
            </w:pPr>
          </w:p>
        </w:tc>
        <w:tc>
          <w:tcPr>
            <w:tcW w:w="2561" w:type="dxa"/>
            <w:vMerge w:val="continue"/>
            <w:tcBorders>
              <w:top w:val="nil"/>
              <w:bottom w:val="single" w:color="000000" w:sz="8" w:space="0"/>
            </w:tcBorders>
          </w:tcPr>
          <w:p>
            <w:pPr>
              <w:rPr>
                <w:sz w:val="2"/>
                <w:szCs w:val="2"/>
              </w:rPr>
            </w:pPr>
          </w:p>
        </w:tc>
        <w:tc>
          <w:tcPr>
            <w:tcW w:w="11727" w:type="dxa"/>
          </w:tcPr>
          <w:p>
            <w:pPr>
              <w:pStyle w:val="12"/>
              <w:spacing w:before="58" w:line="244" w:lineRule="exact"/>
              <w:ind w:left="115"/>
              <w:rPr>
                <w:sz w:val="21"/>
              </w:rPr>
            </w:pPr>
            <w:r>
              <w:rPr>
                <w:sz w:val="21"/>
              </w:rPr>
              <w:t>2019</w:t>
            </w:r>
            <w:r>
              <w:rPr>
                <w:spacing w:val="-12"/>
                <w:sz w:val="21"/>
              </w:rPr>
              <w:t xml:space="preserve"> 年底前全部淘汰退出 </w:t>
            </w:r>
            <w:r>
              <w:rPr>
                <w:sz w:val="21"/>
              </w:rPr>
              <w:t>15</w:t>
            </w:r>
            <w:r>
              <w:rPr>
                <w:spacing w:val="-17"/>
                <w:sz w:val="21"/>
              </w:rPr>
              <w:t xml:space="preserve"> 万吨</w:t>
            </w:r>
            <w:r>
              <w:rPr>
                <w:sz w:val="21"/>
              </w:rPr>
              <w:t>/</w:t>
            </w:r>
            <w:r>
              <w:rPr>
                <w:spacing w:val="-12"/>
                <w:sz w:val="21"/>
              </w:rPr>
              <w:t xml:space="preserve">年煤矿和 </w:t>
            </w:r>
            <w:r>
              <w:rPr>
                <w:sz w:val="21"/>
              </w:rPr>
              <w:t>21</w:t>
            </w:r>
            <w:r>
              <w:rPr>
                <w:spacing w:val="-18"/>
                <w:sz w:val="21"/>
              </w:rPr>
              <w:t xml:space="preserve"> 万吨</w:t>
            </w:r>
            <w:r>
              <w:rPr>
                <w:sz w:val="21"/>
              </w:rPr>
              <w:t>/</w:t>
            </w:r>
            <w:r>
              <w:rPr>
                <w:spacing w:val="-5"/>
                <w:sz w:val="21"/>
              </w:rPr>
              <w:t xml:space="preserve">年煤矿，确保完成国家下达贵州省“十三五”期间淘汰 </w:t>
            </w:r>
            <w:r>
              <w:rPr>
                <w:sz w:val="21"/>
              </w:rPr>
              <w:t>7000</w:t>
            </w:r>
            <w:r>
              <w:rPr>
                <w:spacing w:val="-10"/>
                <w:sz w:val="21"/>
              </w:rPr>
              <w:t xml:space="preserve"> 万吨落后产</w:t>
            </w:r>
          </w:p>
          <w:p>
            <w:pPr>
              <w:pStyle w:val="12"/>
              <w:spacing w:line="244" w:lineRule="exact"/>
              <w:ind w:left="115"/>
              <w:rPr>
                <w:sz w:val="21"/>
              </w:rPr>
            </w:pPr>
            <w:r>
              <w:rPr>
                <w:sz w:val="21"/>
              </w:rPr>
              <w:t>能任务。到 2020 年，全省煤矿全部为 30 万吨/年及以上，其中大中型煤矿产能占 80%以上。</w:t>
            </w:r>
          </w:p>
        </w:tc>
        <w:tc>
          <w:tcPr>
            <w:tcW w:w="5943" w:type="dxa"/>
            <w:vMerge w:val="restart"/>
          </w:tcPr>
          <w:p>
            <w:pPr>
              <w:pStyle w:val="12"/>
              <w:spacing w:before="2"/>
              <w:rPr>
                <w:b/>
                <w:sz w:val="17"/>
              </w:rPr>
            </w:pPr>
          </w:p>
          <w:p>
            <w:pPr>
              <w:pStyle w:val="12"/>
              <w:spacing w:before="1" w:line="194" w:lineRule="auto"/>
              <w:ind w:left="116" w:right="142"/>
              <w:rPr>
                <w:sz w:val="21"/>
              </w:rPr>
            </w:pPr>
            <w:r>
              <w:rPr>
                <w:sz w:val="21"/>
              </w:rPr>
              <w:t>《贵州省人民政府关于煤炭工业淘汰落后产能加快转型升级的意见》（黔府发〔2017〕9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50" w:type="dxa"/>
            <w:vMerge w:val="continue"/>
            <w:tcBorders>
              <w:top w:val="nil"/>
              <w:bottom w:val="single" w:color="000000" w:sz="8" w:space="0"/>
            </w:tcBorders>
          </w:tcPr>
          <w:p>
            <w:pPr>
              <w:rPr>
                <w:sz w:val="2"/>
                <w:szCs w:val="2"/>
              </w:rPr>
            </w:pPr>
          </w:p>
        </w:tc>
        <w:tc>
          <w:tcPr>
            <w:tcW w:w="2561" w:type="dxa"/>
            <w:vMerge w:val="continue"/>
            <w:tcBorders>
              <w:top w:val="nil"/>
              <w:bottom w:val="single" w:color="000000" w:sz="8" w:space="0"/>
            </w:tcBorders>
          </w:tcPr>
          <w:p>
            <w:pPr>
              <w:rPr>
                <w:sz w:val="2"/>
                <w:szCs w:val="2"/>
              </w:rPr>
            </w:pPr>
          </w:p>
        </w:tc>
        <w:tc>
          <w:tcPr>
            <w:tcW w:w="11727" w:type="dxa"/>
          </w:tcPr>
          <w:p>
            <w:pPr>
              <w:pStyle w:val="12"/>
              <w:spacing w:before="98" w:line="194" w:lineRule="auto"/>
              <w:ind w:left="115" w:right="89"/>
              <w:rPr>
                <w:sz w:val="21"/>
              </w:rPr>
            </w:pPr>
            <w:r>
              <w:rPr>
                <w:spacing w:val="-6"/>
                <w:sz w:val="21"/>
              </w:rPr>
              <w:t>支持和鼓励在重点产煤市县建设一批煤矸石砖厂、水泥厂、建材厂等，鼓励水泥厂利用煤矸石代替粘土生产水泥或作水泥混合</w:t>
            </w:r>
            <w:r>
              <w:rPr>
                <w:spacing w:val="-7"/>
                <w:sz w:val="21"/>
              </w:rPr>
              <w:t xml:space="preserve">材料，力争该类利用量占煤矸石产生总量的比重达到 </w:t>
            </w:r>
            <w:r>
              <w:rPr>
                <w:sz w:val="21"/>
              </w:rPr>
              <w:t>25%。</w:t>
            </w:r>
          </w:p>
        </w:tc>
        <w:tc>
          <w:tcPr>
            <w:tcW w:w="5943"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50" w:type="dxa"/>
            <w:vMerge w:val="continue"/>
            <w:tcBorders>
              <w:top w:val="nil"/>
              <w:bottom w:val="single" w:color="000000" w:sz="8" w:space="0"/>
            </w:tcBorders>
          </w:tcPr>
          <w:p>
            <w:pPr>
              <w:rPr>
                <w:sz w:val="2"/>
                <w:szCs w:val="2"/>
              </w:rPr>
            </w:pPr>
          </w:p>
        </w:tc>
        <w:tc>
          <w:tcPr>
            <w:tcW w:w="2561" w:type="dxa"/>
            <w:vMerge w:val="continue"/>
            <w:tcBorders>
              <w:top w:val="nil"/>
              <w:bottom w:val="single" w:color="000000" w:sz="8" w:space="0"/>
            </w:tcBorders>
          </w:tcPr>
          <w:p>
            <w:pPr>
              <w:rPr>
                <w:sz w:val="2"/>
                <w:szCs w:val="2"/>
              </w:rPr>
            </w:pPr>
          </w:p>
        </w:tc>
        <w:tc>
          <w:tcPr>
            <w:tcW w:w="11727" w:type="dxa"/>
          </w:tcPr>
          <w:p>
            <w:pPr>
              <w:pStyle w:val="12"/>
              <w:spacing w:before="63"/>
              <w:ind w:left="115"/>
              <w:rPr>
                <w:sz w:val="21"/>
              </w:rPr>
            </w:pPr>
            <w:r>
              <w:rPr>
                <w:sz w:val="21"/>
              </w:rPr>
              <w:t>到 2020 年单位工业增加值二氧化碳排放量比 2015 年下降 22%。</w:t>
            </w:r>
          </w:p>
        </w:tc>
        <w:tc>
          <w:tcPr>
            <w:tcW w:w="5943" w:type="dxa"/>
            <w:vMerge w:val="restart"/>
            <w:tcBorders>
              <w:bottom w:val="single" w:color="000000" w:sz="8" w:space="0"/>
            </w:tcBorders>
          </w:tcPr>
          <w:p>
            <w:pPr>
              <w:pStyle w:val="12"/>
              <w:spacing w:before="117" w:line="194" w:lineRule="auto"/>
              <w:ind w:left="116" w:right="142"/>
              <w:rPr>
                <w:sz w:val="21"/>
              </w:rPr>
            </w:pPr>
            <w:r>
              <w:rPr>
                <w:spacing w:val="-8"/>
                <w:sz w:val="21"/>
              </w:rPr>
              <w:t>《贵州省“十三五”控制温室气体排放工作实施方案》</w:t>
            </w:r>
            <w:r>
              <w:rPr>
                <w:sz w:val="21"/>
              </w:rPr>
              <w:t>（(黔府发〔2017</w:t>
            </w:r>
            <w:r>
              <w:rPr>
                <w:spacing w:val="-3"/>
                <w:sz w:val="21"/>
              </w:rPr>
              <w:t>〕</w:t>
            </w:r>
            <w:r>
              <w:rPr>
                <w:sz w:val="21"/>
              </w:rPr>
              <w:t>6</w:t>
            </w:r>
            <w:r>
              <w:rPr>
                <w:spacing w:val="-28"/>
                <w:sz w:val="21"/>
              </w:rPr>
              <w:t xml:space="preserve"> 号</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950" w:type="dxa"/>
            <w:vMerge w:val="continue"/>
            <w:tcBorders>
              <w:top w:val="nil"/>
              <w:bottom w:val="single" w:color="000000" w:sz="8" w:space="0"/>
            </w:tcBorders>
          </w:tcPr>
          <w:p>
            <w:pPr>
              <w:rPr>
                <w:sz w:val="2"/>
                <w:szCs w:val="2"/>
              </w:rPr>
            </w:pPr>
          </w:p>
        </w:tc>
        <w:tc>
          <w:tcPr>
            <w:tcW w:w="2561" w:type="dxa"/>
            <w:vMerge w:val="continue"/>
            <w:tcBorders>
              <w:top w:val="nil"/>
              <w:bottom w:val="single" w:color="000000" w:sz="8" w:space="0"/>
            </w:tcBorders>
          </w:tcPr>
          <w:p>
            <w:pPr>
              <w:rPr>
                <w:sz w:val="2"/>
                <w:szCs w:val="2"/>
              </w:rPr>
            </w:pPr>
          </w:p>
        </w:tc>
        <w:tc>
          <w:tcPr>
            <w:tcW w:w="11727" w:type="dxa"/>
            <w:tcBorders>
              <w:bottom w:val="single" w:color="000000" w:sz="8" w:space="0"/>
            </w:tcBorders>
          </w:tcPr>
          <w:p>
            <w:pPr>
              <w:pStyle w:val="12"/>
              <w:spacing w:before="98" w:line="194" w:lineRule="auto"/>
              <w:ind w:left="115" w:right="150"/>
              <w:rPr>
                <w:sz w:val="21"/>
              </w:rPr>
            </w:pPr>
            <w:r>
              <w:rPr>
                <w:spacing w:val="-4"/>
                <w:sz w:val="21"/>
              </w:rPr>
              <w:t xml:space="preserve">积极发展分布式能源，推进天然气采暖和空调用气，稳定发展工业用天然气市场，适度发展天然气调峰电厂。到 </w:t>
            </w:r>
            <w:r>
              <w:rPr>
                <w:sz w:val="21"/>
              </w:rPr>
              <w:t>2020</w:t>
            </w:r>
            <w:r>
              <w:rPr>
                <w:spacing w:val="-8"/>
                <w:sz w:val="21"/>
              </w:rPr>
              <w:t xml:space="preserve"> 年，天</w:t>
            </w:r>
            <w:r>
              <w:rPr>
                <w:spacing w:val="-9"/>
                <w:sz w:val="21"/>
              </w:rPr>
              <w:t xml:space="preserve">然气占能源消费比重提高到 </w:t>
            </w:r>
            <w:r>
              <w:rPr>
                <w:sz w:val="21"/>
              </w:rPr>
              <w:t>5</w:t>
            </w:r>
            <w:r>
              <w:rPr>
                <w:spacing w:val="-1"/>
                <w:sz w:val="21"/>
              </w:rPr>
              <w:t>%左右。</w:t>
            </w:r>
          </w:p>
        </w:tc>
        <w:tc>
          <w:tcPr>
            <w:tcW w:w="5943" w:type="dxa"/>
            <w:vMerge w:val="continue"/>
            <w:tcBorders>
              <w:top w:val="nil"/>
              <w:bottom w:val="single" w:color="000000" w:sz="8"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950" w:type="dxa"/>
            <w:tcBorders>
              <w:top w:val="single" w:color="000000" w:sz="8" w:space="0"/>
              <w:left w:val="single" w:color="000000" w:sz="8" w:space="0"/>
              <w:bottom w:val="nil"/>
              <w:right w:val="single" w:color="000000" w:sz="8" w:space="0"/>
            </w:tcBorders>
          </w:tcPr>
          <w:p>
            <w:pPr>
              <w:pStyle w:val="12"/>
              <w:rPr>
                <w:rFonts w:ascii="Times New Roman"/>
                <w:sz w:val="20"/>
              </w:rPr>
            </w:pPr>
          </w:p>
        </w:tc>
        <w:tc>
          <w:tcPr>
            <w:tcW w:w="2561" w:type="dxa"/>
            <w:tcBorders>
              <w:top w:val="single" w:color="000000" w:sz="8" w:space="0"/>
              <w:left w:val="single" w:color="000000" w:sz="8" w:space="0"/>
              <w:bottom w:val="nil"/>
              <w:right w:val="single" w:color="000000" w:sz="8" w:space="0"/>
            </w:tcBorders>
          </w:tcPr>
          <w:p>
            <w:pPr>
              <w:pStyle w:val="12"/>
              <w:rPr>
                <w:rFonts w:ascii="Times New Roman"/>
                <w:sz w:val="20"/>
              </w:rPr>
            </w:pPr>
          </w:p>
        </w:tc>
        <w:tc>
          <w:tcPr>
            <w:tcW w:w="11727" w:type="dxa"/>
            <w:tcBorders>
              <w:top w:val="single" w:color="000000" w:sz="8" w:space="0"/>
              <w:left w:val="single" w:color="000000" w:sz="8" w:space="0"/>
              <w:bottom w:val="nil"/>
              <w:right w:val="single" w:color="000000" w:sz="8" w:space="0"/>
            </w:tcBorders>
          </w:tcPr>
          <w:p>
            <w:pPr>
              <w:pStyle w:val="12"/>
              <w:spacing w:before="41" w:line="227" w:lineRule="exact"/>
              <w:ind w:left="108"/>
              <w:rPr>
                <w:sz w:val="21"/>
              </w:rPr>
            </w:pPr>
            <w:r>
              <w:rPr>
                <w:sz w:val="21"/>
              </w:rPr>
              <w:t>1.</w:t>
            </w:r>
            <w:r>
              <w:rPr>
                <w:spacing w:val="-8"/>
                <w:sz w:val="21"/>
              </w:rPr>
              <w:t xml:space="preserve">重点区域淘汰每小时 </w:t>
            </w:r>
            <w:r>
              <w:rPr>
                <w:sz w:val="21"/>
              </w:rPr>
              <w:t>20</w:t>
            </w:r>
            <w:r>
              <w:rPr>
                <w:spacing w:val="-11"/>
                <w:sz w:val="21"/>
              </w:rPr>
              <w:t xml:space="preserve"> 蒸吨以下燃煤锅炉，启动每小时 </w:t>
            </w:r>
            <w:r>
              <w:rPr>
                <w:sz w:val="21"/>
              </w:rPr>
              <w:t>35</w:t>
            </w:r>
            <w:r>
              <w:rPr>
                <w:spacing w:val="-10"/>
                <w:sz w:val="21"/>
              </w:rPr>
              <w:t xml:space="preserve"> 蒸吨以下燃煤锅炉淘汰工作，其余城市建成区淘汰每小时 </w:t>
            </w:r>
            <w:r>
              <w:rPr>
                <w:sz w:val="21"/>
              </w:rPr>
              <w:t>10</w:t>
            </w:r>
            <w:r>
              <w:rPr>
                <w:spacing w:val="-25"/>
                <w:sz w:val="21"/>
              </w:rPr>
              <w:t xml:space="preserve"> 蒸</w:t>
            </w:r>
          </w:p>
          <w:p>
            <w:pPr>
              <w:pStyle w:val="12"/>
              <w:spacing w:before="24" w:line="165" w:lineRule="auto"/>
              <w:ind w:left="108" w:right="41"/>
              <w:rPr>
                <w:sz w:val="21"/>
              </w:rPr>
            </w:pPr>
            <w:r>
              <w:rPr>
                <w:spacing w:val="-7"/>
                <w:sz w:val="21"/>
              </w:rPr>
              <w:t xml:space="preserve">吨以下燃煤锅炉。到 </w:t>
            </w:r>
            <w:r>
              <w:rPr>
                <w:sz w:val="21"/>
              </w:rPr>
              <w:t>2020</w:t>
            </w:r>
            <w:r>
              <w:rPr>
                <w:spacing w:val="-10"/>
                <w:sz w:val="21"/>
              </w:rPr>
              <w:t xml:space="preserve"> 年，全省县级及以上城市全部淘汰 </w:t>
            </w:r>
            <w:r>
              <w:rPr>
                <w:sz w:val="21"/>
              </w:rPr>
              <w:t>10</w:t>
            </w:r>
            <w:r>
              <w:rPr>
                <w:spacing w:val="-8"/>
                <w:sz w:val="21"/>
              </w:rPr>
              <w:t xml:space="preserve"> 蒸吨及以下燃煤锅炉，基本淘汰燃煤的茶水炉、经营性炉灶、</w:t>
            </w:r>
            <w:r>
              <w:rPr>
                <w:spacing w:val="-5"/>
                <w:sz w:val="21"/>
              </w:rPr>
              <w:t>储粮烘干设备等。</w:t>
            </w:r>
          </w:p>
        </w:tc>
        <w:tc>
          <w:tcPr>
            <w:tcW w:w="5943" w:type="dxa"/>
            <w:tcBorders>
              <w:top w:val="single" w:color="000000" w:sz="8" w:space="0"/>
              <w:left w:val="single" w:color="000000" w:sz="8" w:space="0"/>
              <w:bottom w:val="nil"/>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nil"/>
              <w:right w:val="single" w:color="000000" w:sz="8" w:space="0"/>
            </w:tcBorders>
          </w:tcPr>
          <w:p>
            <w:pPr>
              <w:pStyle w:val="12"/>
              <w:spacing w:before="4"/>
              <w:rPr>
                <w:b/>
                <w:sz w:val="26"/>
              </w:rPr>
            </w:pPr>
          </w:p>
          <w:p>
            <w:pPr>
              <w:pStyle w:val="12"/>
              <w:ind w:left="527" w:right="504"/>
              <w:jc w:val="center"/>
              <w:rPr>
                <w:sz w:val="21"/>
              </w:rPr>
            </w:pPr>
            <w:r>
              <w:rPr>
                <w:sz w:val="21"/>
              </w:rPr>
              <w:t>空间布局约束</w:t>
            </w:r>
          </w:p>
        </w:tc>
        <w:tc>
          <w:tcPr>
            <w:tcW w:w="11727" w:type="dxa"/>
            <w:tcBorders>
              <w:top w:val="nil"/>
              <w:left w:val="single" w:color="000000" w:sz="8" w:space="0"/>
              <w:bottom w:val="nil"/>
              <w:right w:val="single" w:color="000000" w:sz="8" w:space="0"/>
            </w:tcBorders>
          </w:tcPr>
          <w:p>
            <w:pPr>
              <w:pStyle w:val="12"/>
              <w:numPr>
                <w:ilvl w:val="0"/>
                <w:numId w:val="25"/>
              </w:numPr>
              <w:tabs>
                <w:tab w:val="left" w:pos="321"/>
              </w:tabs>
              <w:spacing w:before="8" w:line="228" w:lineRule="exact"/>
              <w:rPr>
                <w:sz w:val="21"/>
              </w:rPr>
            </w:pPr>
            <w:r>
              <w:rPr>
                <w:spacing w:val="-6"/>
                <w:sz w:val="21"/>
              </w:rPr>
              <w:t xml:space="preserve">全省设市城市建成区禁止新建每小时 </w:t>
            </w:r>
            <w:r>
              <w:rPr>
                <w:sz w:val="21"/>
              </w:rPr>
              <w:t>75</w:t>
            </w:r>
            <w:r>
              <w:rPr>
                <w:spacing w:val="-12"/>
                <w:sz w:val="21"/>
              </w:rPr>
              <w:t xml:space="preserve"> 蒸吨及以下燃煤锅炉，县级城市建成区禁止新建每小时 </w:t>
            </w:r>
            <w:r>
              <w:rPr>
                <w:sz w:val="21"/>
              </w:rPr>
              <w:t>35</w:t>
            </w:r>
            <w:r>
              <w:rPr>
                <w:spacing w:val="-10"/>
                <w:sz w:val="21"/>
              </w:rPr>
              <w:t xml:space="preserve"> 蒸吨及以下燃煤锅炉，其</w:t>
            </w:r>
          </w:p>
          <w:p>
            <w:pPr>
              <w:pStyle w:val="12"/>
              <w:spacing w:line="228" w:lineRule="exact"/>
              <w:ind w:left="108"/>
              <w:rPr>
                <w:sz w:val="21"/>
              </w:rPr>
            </w:pPr>
            <w:r>
              <w:rPr>
                <w:sz w:val="21"/>
              </w:rPr>
              <w:t>他区域禁止新建每小时 10 蒸吨以下燃煤锅炉。</w:t>
            </w:r>
          </w:p>
          <w:p>
            <w:pPr>
              <w:pStyle w:val="12"/>
              <w:numPr>
                <w:ilvl w:val="0"/>
                <w:numId w:val="25"/>
              </w:numPr>
              <w:tabs>
                <w:tab w:val="left" w:pos="321"/>
              </w:tabs>
              <w:spacing w:before="80" w:line="168" w:lineRule="auto"/>
              <w:ind w:left="108" w:right="82" w:firstLine="0"/>
              <w:rPr>
                <w:sz w:val="21"/>
              </w:rPr>
            </w:pPr>
            <w:r>
              <w:rPr>
                <w:spacing w:val="-6"/>
                <w:sz w:val="21"/>
              </w:rPr>
              <w:t>县级及以上城市限制燃煤区和禁止燃煤区划定，加强散煤燃烧和烟花爆竹管控，禁止区内禁止销售使用煤炭、石油焦等高污</w:t>
            </w:r>
            <w:r>
              <w:rPr>
                <w:spacing w:val="-4"/>
                <w:sz w:val="21"/>
              </w:rPr>
              <w:t>染燃料。</w:t>
            </w:r>
          </w:p>
        </w:tc>
        <w:tc>
          <w:tcPr>
            <w:tcW w:w="5943" w:type="dxa"/>
            <w:tcBorders>
              <w:top w:val="nil"/>
              <w:left w:val="single" w:color="000000" w:sz="8" w:space="0"/>
              <w:bottom w:val="nil"/>
              <w:right w:val="single" w:color="000000" w:sz="8" w:space="0"/>
            </w:tcBorders>
          </w:tcPr>
          <w:p>
            <w:pPr>
              <w:pStyle w:val="12"/>
              <w:spacing w:before="3"/>
              <w:rPr>
                <w:b/>
                <w:sz w:val="23"/>
              </w:rPr>
            </w:pPr>
          </w:p>
          <w:p>
            <w:pPr>
              <w:pStyle w:val="12"/>
              <w:spacing w:before="1" w:line="177" w:lineRule="auto"/>
              <w:ind w:left="109" w:right="-29"/>
              <w:rPr>
                <w:sz w:val="21"/>
              </w:rPr>
            </w:pPr>
            <w:r>
              <w:rPr>
                <w:spacing w:val="-5"/>
                <w:sz w:val="21"/>
              </w:rPr>
              <w:t>《贵州省打赢蓝天保卫战三年行动计划》通知</w:t>
            </w:r>
            <w:r>
              <w:rPr>
                <w:spacing w:val="-3"/>
                <w:sz w:val="21"/>
              </w:rPr>
              <w:t>（</w:t>
            </w:r>
            <w:r>
              <w:rPr>
                <w:spacing w:val="-6"/>
                <w:sz w:val="21"/>
              </w:rPr>
              <w:t>黔府发〔</w:t>
            </w:r>
            <w:r>
              <w:rPr>
                <w:sz w:val="21"/>
              </w:rPr>
              <w:t>2018〕26</w:t>
            </w:r>
            <w:r>
              <w:rPr>
                <w:spacing w:val="-28"/>
                <w:sz w:val="21"/>
              </w:rPr>
              <w:t xml:space="preserve"> 号</w:t>
            </w:r>
            <w:r>
              <w:rPr>
                <w:spacing w:val="-3"/>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single" w:color="000000" w:sz="8" w:space="0"/>
              <w:right w:val="single" w:color="000000" w:sz="8" w:space="0"/>
            </w:tcBorders>
          </w:tcPr>
          <w:p>
            <w:pPr>
              <w:pStyle w:val="12"/>
              <w:rPr>
                <w:rFonts w:ascii="Times New Roman"/>
                <w:sz w:val="20"/>
              </w:rPr>
            </w:pPr>
          </w:p>
        </w:tc>
        <w:tc>
          <w:tcPr>
            <w:tcW w:w="11727" w:type="dxa"/>
            <w:tcBorders>
              <w:top w:val="nil"/>
              <w:left w:val="single" w:color="000000" w:sz="8" w:space="0"/>
              <w:bottom w:val="single" w:color="000000" w:sz="8" w:space="0"/>
              <w:right w:val="single" w:color="000000" w:sz="8" w:space="0"/>
            </w:tcBorders>
          </w:tcPr>
          <w:p>
            <w:pPr>
              <w:pStyle w:val="12"/>
              <w:spacing w:before="73" w:line="165" w:lineRule="auto"/>
              <w:ind w:left="108" w:right="-29"/>
              <w:rPr>
                <w:sz w:val="21"/>
              </w:rPr>
            </w:pPr>
            <w:r>
              <w:rPr>
                <w:sz w:val="21"/>
              </w:rPr>
              <w:t>4.</w:t>
            </w:r>
            <w:r>
              <w:rPr>
                <w:spacing w:val="-5"/>
                <w:sz w:val="21"/>
              </w:rPr>
              <w:t xml:space="preserve">重点区域禁止建设生产和使用高 </w:t>
            </w:r>
            <w:r>
              <w:rPr>
                <w:sz w:val="21"/>
              </w:rPr>
              <w:t>VOCS</w:t>
            </w:r>
            <w:r>
              <w:rPr>
                <w:spacing w:val="-7"/>
                <w:sz w:val="21"/>
              </w:rPr>
              <w:t xml:space="preserve"> 含量的溶剂型涂料、油墨、胶粘剂等项目。严格按照有关法律法规，加强饮食油烟污</w:t>
            </w:r>
            <w:r>
              <w:rPr>
                <w:spacing w:val="-14"/>
                <w:sz w:val="21"/>
              </w:rPr>
              <w:t>染防治，县级及以上城市建成区要划定露天烧烤布置区域和时段或全面禁止室外露天烧烤，坚决取缔不符合规定区域内的餐饮、</w:t>
            </w:r>
            <w:r>
              <w:rPr>
                <w:spacing w:val="-8"/>
                <w:sz w:val="21"/>
              </w:rPr>
              <w:t>露天烧烤。</w:t>
            </w:r>
          </w:p>
        </w:tc>
        <w:tc>
          <w:tcPr>
            <w:tcW w:w="5943" w:type="dxa"/>
            <w:tcBorders>
              <w:top w:val="nil"/>
              <w:left w:val="single" w:color="000000" w:sz="8" w:space="0"/>
              <w:bottom w:val="single" w:color="000000" w:sz="8" w:space="0"/>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single" w:color="000000" w:sz="8" w:space="0"/>
              <w:left w:val="single" w:color="000000" w:sz="8" w:space="0"/>
              <w:bottom w:val="nil"/>
              <w:right w:val="single" w:color="000000" w:sz="8" w:space="0"/>
            </w:tcBorders>
          </w:tcPr>
          <w:p>
            <w:pPr>
              <w:pStyle w:val="12"/>
              <w:rPr>
                <w:rFonts w:ascii="Times New Roman"/>
                <w:sz w:val="20"/>
              </w:rPr>
            </w:pPr>
          </w:p>
        </w:tc>
        <w:tc>
          <w:tcPr>
            <w:tcW w:w="11727" w:type="dxa"/>
            <w:tcBorders>
              <w:top w:val="single" w:color="000000" w:sz="8" w:space="0"/>
              <w:left w:val="single" w:color="000000" w:sz="8" w:space="0"/>
              <w:bottom w:val="nil"/>
              <w:right w:val="single" w:color="000000" w:sz="8" w:space="0"/>
            </w:tcBorders>
          </w:tcPr>
          <w:p>
            <w:pPr>
              <w:pStyle w:val="12"/>
              <w:spacing w:before="104" w:line="165" w:lineRule="auto"/>
              <w:ind w:left="108" w:right="81"/>
              <w:jc w:val="both"/>
              <w:rPr>
                <w:sz w:val="21"/>
              </w:rPr>
            </w:pPr>
            <w:r>
              <w:rPr>
                <w:sz w:val="21"/>
              </w:rPr>
              <w:t>1.</w:t>
            </w:r>
            <w:r>
              <w:rPr>
                <w:spacing w:val="-9"/>
                <w:sz w:val="21"/>
              </w:rPr>
              <w:t>推广使用新能源汽车。加快推进城市建成区新增和更新的公交、环卫、邮政、出租、通勤、轻型物流配送车辆使用新能源或</w:t>
            </w:r>
            <w:r>
              <w:rPr>
                <w:spacing w:val="-11"/>
                <w:sz w:val="21"/>
              </w:rPr>
              <w:t>清洁能源汽车，机场、铁路货场等新增或更换作业车辆主要使用新能源或清洁能源汽车。</w:t>
            </w:r>
            <w:r>
              <w:rPr>
                <w:sz w:val="21"/>
              </w:rPr>
              <w:t>2020</w:t>
            </w:r>
            <w:r>
              <w:rPr>
                <w:spacing w:val="-7"/>
                <w:sz w:val="21"/>
              </w:rPr>
              <w:t xml:space="preserve"> 年底前，重点区域新增及更换的</w:t>
            </w:r>
            <w:r>
              <w:rPr>
                <w:spacing w:val="-9"/>
                <w:sz w:val="21"/>
              </w:rPr>
              <w:t xml:space="preserve">公交车中新能源汽车比重不低于 </w:t>
            </w:r>
            <w:r>
              <w:rPr>
                <w:sz w:val="21"/>
              </w:rPr>
              <w:t>35%。</w:t>
            </w:r>
          </w:p>
        </w:tc>
        <w:tc>
          <w:tcPr>
            <w:tcW w:w="5943" w:type="dxa"/>
            <w:tcBorders>
              <w:top w:val="single" w:color="000000" w:sz="8" w:space="0"/>
              <w:left w:val="single" w:color="000000" w:sz="8" w:space="0"/>
              <w:bottom w:val="nil"/>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nil"/>
              <w:right w:val="single" w:color="000000" w:sz="8" w:space="0"/>
            </w:tcBorders>
          </w:tcPr>
          <w:p>
            <w:pPr>
              <w:pStyle w:val="12"/>
              <w:rPr>
                <w:rFonts w:ascii="Times New Roman"/>
                <w:sz w:val="20"/>
              </w:rPr>
            </w:pPr>
          </w:p>
        </w:tc>
        <w:tc>
          <w:tcPr>
            <w:tcW w:w="11727" w:type="dxa"/>
            <w:tcBorders>
              <w:top w:val="nil"/>
              <w:left w:val="single" w:color="000000" w:sz="8" w:space="0"/>
              <w:bottom w:val="nil"/>
              <w:right w:val="single" w:color="000000" w:sz="8" w:space="0"/>
            </w:tcBorders>
          </w:tcPr>
          <w:p>
            <w:pPr>
              <w:pStyle w:val="12"/>
              <w:spacing w:before="71" w:line="168" w:lineRule="auto"/>
              <w:ind w:left="108" w:right="81"/>
              <w:rPr>
                <w:sz w:val="21"/>
              </w:rPr>
            </w:pPr>
            <w:r>
              <w:rPr>
                <w:sz w:val="21"/>
              </w:rPr>
              <w:t>2.</w:t>
            </w:r>
            <w:r>
              <w:rPr>
                <w:spacing w:val="-8"/>
                <w:sz w:val="21"/>
              </w:rPr>
              <w:t>规范新能源物流车辆进入城区管理，在物流园、产业园、工业园、大型商业购物中心、农贸批发市场等物流集散地建设集中</w:t>
            </w:r>
            <w:r>
              <w:rPr>
                <w:spacing w:val="-5"/>
                <w:sz w:val="21"/>
              </w:rPr>
              <w:t>式充电桩和快速充电桩，为承担物流配送的新能源车辆在城市通行提供便利。</w:t>
            </w:r>
          </w:p>
        </w:tc>
        <w:tc>
          <w:tcPr>
            <w:tcW w:w="5943" w:type="dxa"/>
            <w:tcBorders>
              <w:top w:val="nil"/>
              <w:left w:val="single" w:color="000000" w:sz="8" w:space="0"/>
              <w:bottom w:val="nil"/>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950" w:type="dxa"/>
            <w:tcBorders>
              <w:top w:val="nil"/>
              <w:left w:val="single" w:color="000000" w:sz="8" w:space="0"/>
              <w:bottom w:val="nil"/>
              <w:right w:val="single" w:color="000000" w:sz="8" w:space="0"/>
            </w:tcBorders>
          </w:tcPr>
          <w:p>
            <w:pPr>
              <w:pStyle w:val="12"/>
              <w:rPr>
                <w:b/>
                <w:sz w:val="20"/>
              </w:rPr>
            </w:pPr>
          </w:p>
          <w:p>
            <w:pPr>
              <w:pStyle w:val="12"/>
              <w:rPr>
                <w:b/>
                <w:sz w:val="20"/>
              </w:rPr>
            </w:pPr>
          </w:p>
          <w:p>
            <w:pPr>
              <w:pStyle w:val="12"/>
              <w:spacing w:before="6"/>
              <w:rPr>
                <w:b/>
              </w:rPr>
            </w:pPr>
          </w:p>
          <w:p>
            <w:pPr>
              <w:pStyle w:val="12"/>
              <w:spacing w:before="1" w:line="165" w:lineRule="auto"/>
              <w:ind w:left="157" w:right="136"/>
              <w:jc w:val="both"/>
              <w:rPr>
                <w:sz w:val="21"/>
              </w:rPr>
            </w:pPr>
            <w:r>
              <w:rPr>
                <w:sz w:val="21"/>
              </w:rPr>
              <w:t>大气环境一般管控区</w:t>
            </w:r>
          </w:p>
        </w:tc>
        <w:tc>
          <w:tcPr>
            <w:tcW w:w="2561" w:type="dxa"/>
            <w:tcBorders>
              <w:top w:val="nil"/>
              <w:left w:val="single" w:color="000000" w:sz="8" w:space="0"/>
              <w:bottom w:val="nil"/>
              <w:right w:val="single" w:color="000000" w:sz="8" w:space="0"/>
            </w:tcBorders>
          </w:tcPr>
          <w:p>
            <w:pPr>
              <w:pStyle w:val="12"/>
              <w:rPr>
                <w:b/>
                <w:sz w:val="20"/>
              </w:rPr>
            </w:pPr>
          </w:p>
          <w:p>
            <w:pPr>
              <w:pStyle w:val="12"/>
              <w:spacing w:before="172"/>
              <w:ind w:left="527" w:right="504"/>
              <w:jc w:val="center"/>
              <w:rPr>
                <w:sz w:val="21"/>
              </w:rPr>
            </w:pPr>
            <w:r>
              <w:rPr>
                <w:sz w:val="21"/>
              </w:rPr>
              <w:t>污染物排放管控</w:t>
            </w:r>
          </w:p>
        </w:tc>
        <w:tc>
          <w:tcPr>
            <w:tcW w:w="11727" w:type="dxa"/>
            <w:tcBorders>
              <w:top w:val="nil"/>
              <w:left w:val="single" w:color="000000" w:sz="8" w:space="0"/>
              <w:bottom w:val="nil"/>
              <w:right w:val="single" w:color="000000" w:sz="8" w:space="0"/>
            </w:tcBorders>
          </w:tcPr>
          <w:p>
            <w:pPr>
              <w:pStyle w:val="12"/>
              <w:numPr>
                <w:ilvl w:val="0"/>
                <w:numId w:val="26"/>
              </w:numPr>
              <w:tabs>
                <w:tab w:val="left" w:pos="321"/>
              </w:tabs>
              <w:spacing w:before="74" w:line="165" w:lineRule="auto"/>
              <w:ind w:right="41" w:firstLine="0"/>
              <w:jc w:val="both"/>
              <w:rPr>
                <w:sz w:val="21"/>
              </w:rPr>
            </w:pPr>
            <w:r>
              <w:rPr>
                <w:spacing w:val="-3"/>
                <w:sz w:val="21"/>
              </w:rPr>
              <w:t>县城及以上城市建成区建筑施工工地要做到工地周边围挡、物料堆放覆盖、土方开挖湿法作业、路面硬化、出入车辆清洗、</w:t>
            </w:r>
            <w:r>
              <w:rPr>
                <w:spacing w:val="-16"/>
                <w:sz w:val="21"/>
              </w:rPr>
              <w:t>渣土车辆密闭运输“六个百分之百”，</w:t>
            </w:r>
            <w:r>
              <w:rPr>
                <w:sz w:val="21"/>
              </w:rPr>
              <w:t>1</w:t>
            </w:r>
            <w:r>
              <w:rPr>
                <w:spacing w:val="-55"/>
                <w:sz w:val="21"/>
              </w:rPr>
              <w:t xml:space="preserve"> </w:t>
            </w:r>
            <w:r>
              <w:rPr>
                <w:spacing w:val="-5"/>
                <w:sz w:val="21"/>
              </w:rPr>
              <w:t>个月以上暂不施工的裸露工地要采取覆盖或绿化等防尘措施，不覆盖的裸露工地和施工</w:t>
            </w:r>
            <w:r>
              <w:rPr>
                <w:spacing w:val="-4"/>
                <w:sz w:val="21"/>
              </w:rPr>
              <w:t>作业面要采取喷淋等措施防止扬尘产生。</w:t>
            </w:r>
          </w:p>
          <w:p>
            <w:pPr>
              <w:pStyle w:val="12"/>
              <w:numPr>
                <w:ilvl w:val="0"/>
                <w:numId w:val="26"/>
              </w:numPr>
              <w:tabs>
                <w:tab w:val="left" w:pos="321"/>
              </w:tabs>
              <w:spacing w:before="100" w:line="165" w:lineRule="auto"/>
              <w:ind w:right="145" w:firstLine="0"/>
              <w:jc w:val="both"/>
              <w:rPr>
                <w:sz w:val="21"/>
              </w:rPr>
            </w:pPr>
            <w:r>
              <w:rPr>
                <w:spacing w:val="-4"/>
                <w:sz w:val="21"/>
              </w:rPr>
              <w:t xml:space="preserve">加大农村秸秆综合利用，实施秸秆还田，大力推进秸秆肥料化、饲料化、基料化多种形式利用，到 </w:t>
            </w:r>
            <w:r>
              <w:rPr>
                <w:sz w:val="21"/>
              </w:rPr>
              <w:t>2020</w:t>
            </w:r>
            <w:r>
              <w:rPr>
                <w:spacing w:val="-7"/>
                <w:sz w:val="21"/>
              </w:rPr>
              <w:t xml:space="preserve"> 年，全省秸秆综合</w:t>
            </w:r>
            <w:r>
              <w:rPr>
                <w:spacing w:val="-13"/>
                <w:sz w:val="21"/>
              </w:rPr>
              <w:t xml:space="preserve">利用率达到 </w:t>
            </w:r>
            <w:r>
              <w:rPr>
                <w:sz w:val="21"/>
              </w:rPr>
              <w:t>75%。</w:t>
            </w:r>
          </w:p>
          <w:p>
            <w:pPr>
              <w:pStyle w:val="12"/>
              <w:numPr>
                <w:ilvl w:val="0"/>
                <w:numId w:val="26"/>
              </w:numPr>
              <w:tabs>
                <w:tab w:val="left" w:pos="321"/>
              </w:tabs>
              <w:spacing w:before="102" w:line="165" w:lineRule="auto"/>
              <w:ind w:right="84" w:firstLine="0"/>
              <w:rPr>
                <w:sz w:val="21"/>
              </w:rPr>
            </w:pPr>
            <w:r>
              <w:rPr>
                <w:spacing w:val="-8"/>
                <w:sz w:val="21"/>
              </w:rPr>
              <w:t>提高化肥利用率，减少化肥农药使用量，增加有机肥使用量，实现化肥农药使用量负增长。强化畜禽粪污资源化利用，改善</w:t>
            </w:r>
            <w:r>
              <w:rPr>
                <w:spacing w:val="-5"/>
                <w:sz w:val="21"/>
              </w:rPr>
              <w:t>养殖场通风环境，提高畜禽粪污综合利用率，减少氨挥发排放。</w:t>
            </w:r>
          </w:p>
        </w:tc>
        <w:tc>
          <w:tcPr>
            <w:tcW w:w="5943" w:type="dxa"/>
            <w:tcBorders>
              <w:top w:val="nil"/>
              <w:left w:val="single" w:color="000000" w:sz="8" w:space="0"/>
              <w:bottom w:val="nil"/>
              <w:right w:val="single" w:color="000000" w:sz="8" w:space="0"/>
            </w:tcBorders>
          </w:tcPr>
          <w:p>
            <w:pPr>
              <w:pStyle w:val="12"/>
              <w:rPr>
                <w:b/>
                <w:sz w:val="20"/>
              </w:rPr>
            </w:pPr>
          </w:p>
          <w:p>
            <w:pPr>
              <w:pStyle w:val="12"/>
              <w:spacing w:before="133" w:line="177" w:lineRule="auto"/>
              <w:ind w:left="109" w:right="-29"/>
              <w:rPr>
                <w:sz w:val="21"/>
              </w:rPr>
            </w:pPr>
            <w:r>
              <w:rPr>
                <w:spacing w:val="-5"/>
                <w:sz w:val="21"/>
              </w:rPr>
              <w:t>《贵州省打赢蓝天保卫战三年行动计划》通知</w:t>
            </w:r>
            <w:r>
              <w:rPr>
                <w:spacing w:val="-3"/>
                <w:sz w:val="21"/>
              </w:rPr>
              <w:t>（</w:t>
            </w:r>
            <w:r>
              <w:rPr>
                <w:spacing w:val="-6"/>
                <w:sz w:val="21"/>
              </w:rPr>
              <w:t>黔府发〔</w:t>
            </w:r>
            <w:r>
              <w:rPr>
                <w:sz w:val="21"/>
              </w:rPr>
              <w:t>2018〕26</w:t>
            </w:r>
            <w:r>
              <w:rPr>
                <w:spacing w:val="-28"/>
                <w:sz w:val="21"/>
              </w:rPr>
              <w:t xml:space="preserve"> 号</w:t>
            </w:r>
            <w:r>
              <w:rPr>
                <w:spacing w:val="-3"/>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single" w:color="000000" w:sz="8" w:space="0"/>
              <w:right w:val="single" w:color="000000" w:sz="8" w:space="0"/>
            </w:tcBorders>
          </w:tcPr>
          <w:p>
            <w:pPr>
              <w:pStyle w:val="12"/>
              <w:rPr>
                <w:rFonts w:ascii="Times New Roman"/>
                <w:sz w:val="20"/>
              </w:rPr>
            </w:pPr>
          </w:p>
        </w:tc>
        <w:tc>
          <w:tcPr>
            <w:tcW w:w="11727" w:type="dxa"/>
            <w:tcBorders>
              <w:top w:val="nil"/>
              <w:left w:val="single" w:color="000000" w:sz="8" w:space="0"/>
              <w:bottom w:val="single" w:color="000000" w:sz="8" w:space="0"/>
              <w:right w:val="single" w:color="000000" w:sz="8" w:space="0"/>
            </w:tcBorders>
          </w:tcPr>
          <w:p>
            <w:pPr>
              <w:pStyle w:val="12"/>
              <w:spacing w:before="74" w:line="165" w:lineRule="auto"/>
              <w:ind w:left="108" w:right="82"/>
              <w:jc w:val="both"/>
              <w:rPr>
                <w:sz w:val="21"/>
              </w:rPr>
            </w:pPr>
            <w:r>
              <w:rPr>
                <w:sz w:val="21"/>
              </w:rPr>
              <w:t>6.</w:t>
            </w:r>
            <w:r>
              <w:rPr>
                <w:spacing w:val="-4"/>
                <w:sz w:val="21"/>
              </w:rPr>
              <w:t>推进露天矿山综合整治。对违反资源环境法律法规、规划，污染环境、破坏生态、乱采滥挖的露天矿山，依法予以关闭;对</w:t>
            </w:r>
            <w:r>
              <w:rPr>
                <w:spacing w:val="-6"/>
                <w:sz w:val="21"/>
              </w:rPr>
              <w:t>污染治理不规范的露天矿山，依法责令停产整治，整治完成并经相关部门组织验收合格后方可恢复生产，对拒不停产或擅自恢</w:t>
            </w:r>
            <w:r>
              <w:rPr>
                <w:spacing w:val="-4"/>
                <w:sz w:val="21"/>
              </w:rPr>
              <w:t>复生产的依法强制关闭。</w:t>
            </w:r>
          </w:p>
        </w:tc>
        <w:tc>
          <w:tcPr>
            <w:tcW w:w="5943" w:type="dxa"/>
            <w:tcBorders>
              <w:top w:val="nil"/>
              <w:left w:val="single" w:color="000000" w:sz="8" w:space="0"/>
              <w:bottom w:val="single" w:color="000000" w:sz="8" w:space="0"/>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single" w:color="000000" w:sz="8" w:space="0"/>
              <w:left w:val="single" w:color="000000" w:sz="8" w:space="0"/>
              <w:bottom w:val="nil"/>
              <w:right w:val="single" w:color="000000" w:sz="8" w:space="0"/>
            </w:tcBorders>
          </w:tcPr>
          <w:p>
            <w:pPr>
              <w:pStyle w:val="12"/>
              <w:rPr>
                <w:rFonts w:ascii="Times New Roman"/>
                <w:sz w:val="20"/>
              </w:rPr>
            </w:pPr>
          </w:p>
        </w:tc>
        <w:tc>
          <w:tcPr>
            <w:tcW w:w="11727" w:type="dxa"/>
            <w:tcBorders>
              <w:top w:val="single" w:color="000000" w:sz="8" w:space="0"/>
              <w:left w:val="single" w:color="000000" w:sz="8" w:space="0"/>
              <w:bottom w:val="single" w:color="000000" w:sz="8" w:space="0"/>
              <w:right w:val="single" w:color="000000" w:sz="8" w:space="0"/>
            </w:tcBorders>
          </w:tcPr>
          <w:p>
            <w:pPr>
              <w:pStyle w:val="12"/>
              <w:numPr>
                <w:ilvl w:val="0"/>
                <w:numId w:val="27"/>
              </w:numPr>
              <w:tabs>
                <w:tab w:val="left" w:pos="321"/>
              </w:tabs>
              <w:spacing w:before="39"/>
              <w:rPr>
                <w:sz w:val="21"/>
              </w:rPr>
            </w:pPr>
            <w:r>
              <w:rPr>
                <w:spacing w:val="-3"/>
                <w:sz w:val="21"/>
              </w:rPr>
              <w:t>严格执行环境影响评价制度，坚决执行“五个一律不批”</w:t>
            </w:r>
          </w:p>
          <w:p>
            <w:pPr>
              <w:pStyle w:val="12"/>
              <w:numPr>
                <w:ilvl w:val="0"/>
                <w:numId w:val="27"/>
              </w:numPr>
              <w:tabs>
                <w:tab w:val="left" w:pos="321"/>
              </w:tabs>
              <w:spacing w:before="19"/>
              <w:rPr>
                <w:sz w:val="21"/>
              </w:rPr>
            </w:pPr>
            <w:r>
              <w:rPr>
                <w:spacing w:val="-7"/>
                <w:sz w:val="21"/>
              </w:rPr>
              <w:t xml:space="preserve">严禁在干流及主要支流岸线 </w:t>
            </w:r>
            <w:r>
              <w:rPr>
                <w:sz w:val="21"/>
              </w:rPr>
              <w:t>1</w:t>
            </w:r>
            <w:r>
              <w:rPr>
                <w:spacing w:val="-9"/>
                <w:sz w:val="21"/>
              </w:rPr>
              <w:t xml:space="preserve"> 公里范围内布局新建重化工园区</w:t>
            </w:r>
          </w:p>
        </w:tc>
        <w:tc>
          <w:tcPr>
            <w:tcW w:w="5943" w:type="dxa"/>
            <w:tcBorders>
              <w:top w:val="single" w:color="000000" w:sz="8" w:space="0"/>
              <w:left w:val="single" w:color="000000" w:sz="8" w:space="0"/>
              <w:right w:val="single" w:color="000000" w:sz="8" w:space="0"/>
            </w:tcBorders>
          </w:tcPr>
          <w:p>
            <w:pPr>
              <w:pStyle w:val="12"/>
              <w:spacing w:before="139" w:line="180" w:lineRule="auto"/>
              <w:ind w:left="109" w:right="134"/>
              <w:rPr>
                <w:sz w:val="21"/>
              </w:rPr>
            </w:pPr>
            <w:r>
              <w:rPr>
                <w:spacing w:val="-3"/>
                <w:sz w:val="21"/>
              </w:rPr>
              <w:t>贵州省生态环境厅关于印发《贵州省建设项目环境准入清单管理办法</w:t>
            </w:r>
            <w:r>
              <w:rPr>
                <w:sz w:val="21"/>
              </w:rPr>
              <w:t>（</w:t>
            </w:r>
            <w:r>
              <w:rPr>
                <w:spacing w:val="-2"/>
                <w:sz w:val="21"/>
              </w:rPr>
              <w:t>试行</w:t>
            </w:r>
            <w:r>
              <w:rPr>
                <w:spacing w:val="-108"/>
                <w:sz w:val="21"/>
              </w:rPr>
              <w:t>）</w:t>
            </w:r>
            <w:r>
              <w:rPr>
                <w:spacing w:val="-3"/>
                <w:sz w:val="21"/>
              </w:rPr>
              <w:t>》的通知</w:t>
            </w:r>
            <w:r>
              <w:rPr>
                <w:sz w:val="21"/>
              </w:rPr>
              <w:t>（2018）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nil"/>
              <w:right w:val="single" w:color="000000" w:sz="8" w:space="0"/>
            </w:tcBorders>
          </w:tcPr>
          <w:p>
            <w:pPr>
              <w:pStyle w:val="12"/>
              <w:spacing w:before="97" w:line="230" w:lineRule="exact"/>
              <w:ind w:left="527" w:right="504"/>
              <w:jc w:val="center"/>
              <w:rPr>
                <w:sz w:val="21"/>
              </w:rPr>
            </w:pPr>
            <w:r>
              <w:rPr>
                <w:sz w:val="21"/>
              </w:rPr>
              <w:t>环境风险管控</w:t>
            </w:r>
          </w:p>
        </w:tc>
        <w:tc>
          <w:tcPr>
            <w:tcW w:w="11727" w:type="dxa"/>
            <w:vMerge w:val="restart"/>
            <w:tcBorders>
              <w:top w:val="single" w:color="000000" w:sz="8" w:space="0"/>
              <w:left w:val="single" w:color="000000" w:sz="8" w:space="0"/>
              <w:bottom w:val="single" w:color="000000" w:sz="8" w:space="0"/>
              <w:right w:val="single" w:color="000000" w:sz="8" w:space="0"/>
            </w:tcBorders>
          </w:tcPr>
          <w:p>
            <w:pPr>
              <w:pStyle w:val="12"/>
              <w:spacing w:before="37"/>
              <w:ind w:left="108"/>
              <w:rPr>
                <w:sz w:val="21"/>
              </w:rPr>
            </w:pPr>
            <w:r>
              <w:rPr>
                <w:sz w:val="21"/>
              </w:rPr>
              <w:t>禁止在城市规划区内新建改建扩建水泥、煤化工、燃煤火电、焦化、金属冶炼、陶瓷等大气污染严重的产业项目。</w:t>
            </w:r>
          </w:p>
        </w:tc>
        <w:tc>
          <w:tcPr>
            <w:tcW w:w="5943" w:type="dxa"/>
            <w:tcBorders>
              <w:left w:val="single" w:color="000000" w:sz="8" w:space="0"/>
              <w:bottom w:val="nil"/>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950" w:type="dxa"/>
            <w:vMerge w:val="restart"/>
            <w:tcBorders>
              <w:top w:val="nil"/>
              <w:left w:val="single" w:color="000000" w:sz="8" w:space="0"/>
              <w:bottom w:val="nil"/>
              <w:right w:val="single" w:color="000000" w:sz="8" w:space="0"/>
            </w:tcBorders>
          </w:tcPr>
          <w:p>
            <w:pPr>
              <w:pStyle w:val="12"/>
              <w:rPr>
                <w:rFonts w:ascii="Times New Roman"/>
                <w:sz w:val="20"/>
              </w:rPr>
            </w:pPr>
          </w:p>
        </w:tc>
        <w:tc>
          <w:tcPr>
            <w:tcW w:w="2561" w:type="dxa"/>
            <w:vMerge w:val="restart"/>
            <w:tcBorders>
              <w:top w:val="nil"/>
              <w:left w:val="single" w:color="000000" w:sz="8" w:space="0"/>
              <w:bottom w:val="nil"/>
              <w:right w:val="single" w:color="000000" w:sz="8" w:space="0"/>
            </w:tcBorders>
          </w:tcPr>
          <w:p>
            <w:pPr>
              <w:pStyle w:val="12"/>
              <w:rPr>
                <w:rFonts w:ascii="Times New Roman"/>
                <w:sz w:val="20"/>
              </w:rPr>
            </w:pPr>
          </w:p>
        </w:tc>
        <w:tc>
          <w:tcPr>
            <w:tcW w:w="11727" w:type="dxa"/>
            <w:vMerge w:val="continue"/>
            <w:tcBorders>
              <w:top w:val="nil"/>
              <w:left w:val="single" w:color="000000" w:sz="8" w:space="0"/>
              <w:bottom w:val="single" w:color="000000" w:sz="8" w:space="0"/>
              <w:right w:val="single" w:color="000000" w:sz="8" w:space="0"/>
            </w:tcBorders>
          </w:tcPr>
          <w:p>
            <w:pPr>
              <w:rPr>
                <w:sz w:val="2"/>
                <w:szCs w:val="2"/>
              </w:rPr>
            </w:pPr>
          </w:p>
        </w:tc>
        <w:tc>
          <w:tcPr>
            <w:tcW w:w="5943" w:type="dxa"/>
            <w:vMerge w:val="restart"/>
            <w:tcBorders>
              <w:top w:val="nil"/>
              <w:left w:val="single" w:color="000000" w:sz="8" w:space="0"/>
              <w:bottom w:val="nil"/>
              <w:right w:val="single" w:color="000000" w:sz="8" w:space="0"/>
            </w:tcBorders>
          </w:tcPr>
          <w:p>
            <w:pPr>
              <w:pStyle w:val="12"/>
              <w:spacing w:line="251" w:lineRule="exact"/>
              <w:ind w:left="109"/>
              <w:rPr>
                <w:sz w:val="21"/>
              </w:rPr>
            </w:pPr>
            <w:r>
              <w:rPr>
                <w:sz w:val="21"/>
              </w:rPr>
              <w:t>《贵州省大气污染防治条例》（2018）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50" w:type="dxa"/>
            <w:vMerge w:val="continue"/>
            <w:tcBorders>
              <w:top w:val="nil"/>
              <w:left w:val="single" w:color="000000" w:sz="8" w:space="0"/>
              <w:bottom w:val="nil"/>
              <w:right w:val="single" w:color="000000" w:sz="8" w:space="0"/>
            </w:tcBorders>
          </w:tcPr>
          <w:p>
            <w:pPr>
              <w:rPr>
                <w:sz w:val="2"/>
                <w:szCs w:val="2"/>
              </w:rPr>
            </w:pPr>
          </w:p>
        </w:tc>
        <w:tc>
          <w:tcPr>
            <w:tcW w:w="2561" w:type="dxa"/>
            <w:vMerge w:val="continue"/>
            <w:tcBorders>
              <w:top w:val="nil"/>
              <w:left w:val="single" w:color="000000" w:sz="8" w:space="0"/>
              <w:bottom w:val="nil"/>
              <w:right w:val="single" w:color="000000" w:sz="8" w:space="0"/>
            </w:tcBorders>
          </w:tcPr>
          <w:p>
            <w:pPr>
              <w:rPr>
                <w:sz w:val="2"/>
                <w:szCs w:val="2"/>
              </w:rPr>
            </w:pPr>
          </w:p>
        </w:tc>
        <w:tc>
          <w:tcPr>
            <w:tcW w:w="11727" w:type="dxa"/>
            <w:tcBorders>
              <w:top w:val="single" w:color="000000" w:sz="8" w:space="0"/>
              <w:left w:val="single" w:color="000000" w:sz="8" w:space="0"/>
              <w:bottom w:val="single" w:color="000000" w:sz="8" w:space="0"/>
              <w:right w:val="single" w:color="000000" w:sz="8" w:space="0"/>
            </w:tcBorders>
          </w:tcPr>
          <w:p>
            <w:pPr>
              <w:pStyle w:val="12"/>
              <w:spacing w:before="37"/>
              <w:ind w:left="108"/>
              <w:rPr>
                <w:sz w:val="21"/>
              </w:rPr>
            </w:pPr>
            <w:r>
              <w:rPr>
                <w:sz w:val="21"/>
              </w:rPr>
              <w:t>禁止开采含放射性和砷等有毒有害物质超过规定标准的煤炭</w:t>
            </w:r>
          </w:p>
        </w:tc>
        <w:tc>
          <w:tcPr>
            <w:tcW w:w="5943" w:type="dxa"/>
            <w:vMerge w:val="continue"/>
            <w:tcBorders>
              <w:top w:val="nil"/>
              <w:left w:val="single" w:color="000000" w:sz="8" w:space="0"/>
              <w:bottom w:val="nil"/>
              <w:right w:val="single" w:color="000000" w:sz="8"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single" w:color="000000" w:sz="8" w:space="0"/>
              <w:right w:val="single" w:color="000000" w:sz="8" w:space="0"/>
            </w:tcBorders>
          </w:tcPr>
          <w:p>
            <w:pPr>
              <w:pStyle w:val="12"/>
              <w:rPr>
                <w:rFonts w:ascii="Times New Roman"/>
                <w:sz w:val="20"/>
              </w:rPr>
            </w:pPr>
          </w:p>
        </w:tc>
        <w:tc>
          <w:tcPr>
            <w:tcW w:w="11727" w:type="dxa"/>
            <w:tcBorders>
              <w:top w:val="single" w:color="000000" w:sz="8" w:space="0"/>
              <w:left w:val="single" w:color="000000" w:sz="8" w:space="0"/>
              <w:bottom w:val="single" w:color="000000" w:sz="8" w:space="0"/>
              <w:right w:val="single" w:color="000000" w:sz="8" w:space="0"/>
            </w:tcBorders>
          </w:tcPr>
          <w:p>
            <w:pPr>
              <w:pStyle w:val="12"/>
              <w:spacing w:before="37"/>
              <w:ind w:left="108"/>
              <w:rPr>
                <w:sz w:val="21"/>
              </w:rPr>
            </w:pPr>
            <w:r>
              <w:rPr>
                <w:sz w:val="21"/>
              </w:rPr>
              <w:t>禁止在限制燃煤区新建扩建燃用煤炭的锅炉、窑炉、发电机组等设施。</w:t>
            </w:r>
          </w:p>
        </w:tc>
        <w:tc>
          <w:tcPr>
            <w:tcW w:w="5943" w:type="dxa"/>
            <w:tcBorders>
              <w:top w:val="nil"/>
              <w:left w:val="single" w:color="000000" w:sz="8" w:space="0"/>
              <w:bottom w:val="single" w:color="000000" w:sz="8" w:space="0"/>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single" w:color="000000" w:sz="8" w:space="0"/>
              <w:left w:val="single" w:color="000000" w:sz="8" w:space="0"/>
              <w:bottom w:val="nil"/>
              <w:right w:val="single" w:color="000000" w:sz="8" w:space="0"/>
            </w:tcBorders>
          </w:tcPr>
          <w:p>
            <w:pPr>
              <w:pStyle w:val="12"/>
              <w:rPr>
                <w:rFonts w:ascii="Times New Roman"/>
                <w:sz w:val="20"/>
              </w:rPr>
            </w:pPr>
          </w:p>
        </w:tc>
        <w:tc>
          <w:tcPr>
            <w:tcW w:w="11727" w:type="dxa"/>
            <w:tcBorders>
              <w:top w:val="single" w:color="000000" w:sz="8" w:space="0"/>
              <w:left w:val="single" w:color="000000" w:sz="8" w:space="0"/>
              <w:bottom w:val="nil"/>
              <w:right w:val="single" w:color="000000" w:sz="8" w:space="0"/>
            </w:tcBorders>
          </w:tcPr>
          <w:p>
            <w:pPr>
              <w:pStyle w:val="12"/>
              <w:spacing w:before="39" w:line="257" w:lineRule="exact"/>
              <w:ind w:left="108"/>
              <w:rPr>
                <w:sz w:val="21"/>
              </w:rPr>
            </w:pPr>
            <w:r>
              <w:rPr>
                <w:sz w:val="21"/>
              </w:rPr>
              <w:t>1.到 2020 年，非化石能源占能源消费总量比重达到 15%。</w:t>
            </w:r>
          </w:p>
        </w:tc>
        <w:tc>
          <w:tcPr>
            <w:tcW w:w="5943" w:type="dxa"/>
            <w:tcBorders>
              <w:top w:val="single" w:color="000000" w:sz="8" w:space="0"/>
              <w:left w:val="single" w:color="000000" w:sz="8" w:space="0"/>
              <w:bottom w:val="nil"/>
              <w:right w:val="single" w:color="000000" w:sz="8"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50" w:type="dxa"/>
            <w:tcBorders>
              <w:top w:val="nil"/>
              <w:left w:val="single" w:color="000000" w:sz="8" w:space="0"/>
              <w:bottom w:val="nil"/>
              <w:right w:val="single" w:color="000000" w:sz="8" w:space="0"/>
            </w:tcBorders>
          </w:tcPr>
          <w:p>
            <w:pPr>
              <w:pStyle w:val="12"/>
              <w:rPr>
                <w:rFonts w:ascii="Times New Roman"/>
                <w:sz w:val="20"/>
              </w:rPr>
            </w:pPr>
          </w:p>
        </w:tc>
        <w:tc>
          <w:tcPr>
            <w:tcW w:w="2561" w:type="dxa"/>
            <w:tcBorders>
              <w:top w:val="nil"/>
              <w:left w:val="single" w:color="000000" w:sz="8" w:space="0"/>
              <w:bottom w:val="nil"/>
              <w:right w:val="single" w:color="000000" w:sz="8" w:space="0"/>
            </w:tcBorders>
          </w:tcPr>
          <w:p>
            <w:pPr>
              <w:pStyle w:val="12"/>
              <w:rPr>
                <w:b/>
                <w:sz w:val="19"/>
              </w:rPr>
            </w:pPr>
          </w:p>
          <w:p>
            <w:pPr>
              <w:pStyle w:val="12"/>
              <w:ind w:left="527" w:right="504"/>
              <w:jc w:val="center"/>
              <w:rPr>
                <w:sz w:val="21"/>
              </w:rPr>
            </w:pPr>
            <w:r>
              <w:rPr>
                <w:sz w:val="21"/>
              </w:rPr>
              <w:t>资源利用效率</w:t>
            </w:r>
          </w:p>
        </w:tc>
        <w:tc>
          <w:tcPr>
            <w:tcW w:w="11727" w:type="dxa"/>
            <w:tcBorders>
              <w:top w:val="nil"/>
              <w:left w:val="single" w:color="000000" w:sz="8" w:space="0"/>
              <w:bottom w:val="nil"/>
              <w:right w:val="single" w:color="000000" w:sz="8" w:space="0"/>
            </w:tcBorders>
          </w:tcPr>
          <w:p>
            <w:pPr>
              <w:pStyle w:val="12"/>
              <w:numPr>
                <w:ilvl w:val="0"/>
                <w:numId w:val="28"/>
              </w:numPr>
              <w:tabs>
                <w:tab w:val="left" w:pos="321"/>
              </w:tabs>
              <w:spacing w:before="8"/>
              <w:rPr>
                <w:sz w:val="21"/>
              </w:rPr>
            </w:pPr>
            <w:r>
              <w:rPr>
                <w:spacing w:val="-27"/>
                <w:sz w:val="21"/>
              </w:rPr>
              <w:t xml:space="preserve">到 </w:t>
            </w:r>
            <w:r>
              <w:rPr>
                <w:sz w:val="21"/>
              </w:rPr>
              <w:t>2020</w:t>
            </w:r>
            <w:r>
              <w:rPr>
                <w:spacing w:val="-13"/>
                <w:sz w:val="21"/>
              </w:rPr>
              <w:t xml:space="preserve"> 年，全省风电装机达到 </w:t>
            </w:r>
            <w:r>
              <w:rPr>
                <w:sz w:val="21"/>
              </w:rPr>
              <w:t>600</w:t>
            </w:r>
            <w:r>
              <w:rPr>
                <w:spacing w:val="-12"/>
                <w:sz w:val="21"/>
              </w:rPr>
              <w:t xml:space="preserve"> 万千瓦。</w:t>
            </w:r>
          </w:p>
          <w:p>
            <w:pPr>
              <w:pStyle w:val="12"/>
              <w:numPr>
                <w:ilvl w:val="0"/>
                <w:numId w:val="28"/>
              </w:numPr>
              <w:tabs>
                <w:tab w:val="left" w:pos="321"/>
              </w:tabs>
              <w:spacing w:before="19"/>
              <w:rPr>
                <w:sz w:val="21"/>
              </w:rPr>
            </w:pPr>
            <w:r>
              <w:rPr>
                <w:spacing w:val="-19"/>
                <w:sz w:val="21"/>
              </w:rPr>
              <w:t xml:space="preserve">力争 </w:t>
            </w:r>
            <w:r>
              <w:rPr>
                <w:sz w:val="21"/>
              </w:rPr>
              <w:t>2020</w:t>
            </w:r>
            <w:r>
              <w:rPr>
                <w:spacing w:val="-11"/>
                <w:sz w:val="21"/>
              </w:rPr>
              <w:t xml:space="preserve"> 年全省天然气占能源消费总量比重达到 </w:t>
            </w:r>
            <w:r>
              <w:rPr>
                <w:sz w:val="21"/>
              </w:rPr>
              <w:t>2%。</w:t>
            </w:r>
          </w:p>
        </w:tc>
        <w:tc>
          <w:tcPr>
            <w:tcW w:w="5943" w:type="dxa"/>
            <w:tcBorders>
              <w:top w:val="nil"/>
              <w:left w:val="single" w:color="000000" w:sz="8" w:space="0"/>
              <w:bottom w:val="nil"/>
              <w:right w:val="single" w:color="000000" w:sz="8" w:space="0"/>
            </w:tcBorders>
          </w:tcPr>
          <w:p>
            <w:pPr>
              <w:pStyle w:val="12"/>
              <w:spacing w:before="150" w:line="235" w:lineRule="exact"/>
              <w:ind w:left="109" w:right="-29"/>
              <w:rPr>
                <w:sz w:val="21"/>
              </w:rPr>
            </w:pPr>
            <w:r>
              <w:rPr>
                <w:spacing w:val="-5"/>
                <w:sz w:val="21"/>
              </w:rPr>
              <w:t>《贵州省打赢蓝天保卫战三年行动计划》通知</w:t>
            </w:r>
            <w:r>
              <w:rPr>
                <w:spacing w:val="-3"/>
                <w:sz w:val="21"/>
              </w:rPr>
              <w:t>（</w:t>
            </w:r>
            <w:r>
              <w:rPr>
                <w:spacing w:val="-6"/>
                <w:sz w:val="21"/>
              </w:rPr>
              <w:t>黔府发〔</w:t>
            </w:r>
            <w:r>
              <w:rPr>
                <w:sz w:val="21"/>
              </w:rPr>
              <w:t>2018〕</w:t>
            </w:r>
          </w:p>
          <w:p>
            <w:pPr>
              <w:pStyle w:val="12"/>
              <w:spacing w:line="196" w:lineRule="exact"/>
              <w:ind w:left="109"/>
              <w:rPr>
                <w:sz w:val="21"/>
              </w:rPr>
            </w:pPr>
            <w:r>
              <w:rPr>
                <w:sz w:val="21"/>
              </w:rPr>
              <w:t>26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0" w:type="dxa"/>
            <w:tcBorders>
              <w:top w:val="nil"/>
              <w:left w:val="single" w:color="000000" w:sz="8" w:space="0"/>
              <w:bottom w:val="single" w:color="000000" w:sz="8" w:space="0"/>
              <w:right w:val="single" w:color="000000" w:sz="8" w:space="0"/>
            </w:tcBorders>
          </w:tcPr>
          <w:p>
            <w:pPr>
              <w:pStyle w:val="12"/>
              <w:rPr>
                <w:rFonts w:ascii="Times New Roman"/>
                <w:sz w:val="20"/>
              </w:rPr>
            </w:pPr>
          </w:p>
        </w:tc>
        <w:tc>
          <w:tcPr>
            <w:tcW w:w="2561" w:type="dxa"/>
            <w:tcBorders>
              <w:top w:val="nil"/>
              <w:left w:val="single" w:color="000000" w:sz="8" w:space="0"/>
              <w:bottom w:val="single" w:color="000000" w:sz="8" w:space="0"/>
              <w:right w:val="single" w:color="000000" w:sz="8" w:space="0"/>
            </w:tcBorders>
          </w:tcPr>
          <w:p>
            <w:pPr>
              <w:pStyle w:val="12"/>
              <w:rPr>
                <w:rFonts w:ascii="Times New Roman"/>
                <w:sz w:val="20"/>
              </w:rPr>
            </w:pPr>
          </w:p>
        </w:tc>
        <w:tc>
          <w:tcPr>
            <w:tcW w:w="11727" w:type="dxa"/>
            <w:tcBorders>
              <w:top w:val="nil"/>
              <w:left w:val="single" w:color="000000" w:sz="8" w:space="0"/>
              <w:bottom w:val="single" w:color="000000" w:sz="8" w:space="0"/>
              <w:right w:val="single" w:color="000000" w:sz="8" w:space="0"/>
            </w:tcBorders>
          </w:tcPr>
          <w:p>
            <w:pPr>
              <w:pStyle w:val="12"/>
              <w:spacing w:before="46" w:line="165" w:lineRule="auto"/>
              <w:ind w:left="108" w:right="84"/>
              <w:rPr>
                <w:sz w:val="21"/>
              </w:rPr>
            </w:pPr>
            <w:r>
              <w:rPr>
                <w:sz w:val="21"/>
              </w:rPr>
              <w:t>4.</w:t>
            </w:r>
            <w:r>
              <w:rPr>
                <w:spacing w:val="-20"/>
                <w:sz w:val="21"/>
              </w:rPr>
              <w:t xml:space="preserve">到 </w:t>
            </w:r>
            <w:r>
              <w:rPr>
                <w:sz w:val="21"/>
              </w:rPr>
              <w:t>2020</w:t>
            </w:r>
            <w:r>
              <w:rPr>
                <w:spacing w:val="-10"/>
                <w:sz w:val="21"/>
              </w:rPr>
              <w:t xml:space="preserve"> 年，工业固体废物综合利用率达到 </w:t>
            </w:r>
            <w:r>
              <w:rPr>
                <w:spacing w:val="-5"/>
                <w:sz w:val="21"/>
              </w:rPr>
              <w:t>65</w:t>
            </w:r>
            <w:r>
              <w:rPr>
                <w:spacing w:val="-6"/>
                <w:sz w:val="21"/>
              </w:rPr>
              <w:t xml:space="preserve">%，全省秸秆综合利用率达到 </w:t>
            </w:r>
            <w:r>
              <w:rPr>
                <w:spacing w:val="-4"/>
                <w:sz w:val="21"/>
              </w:rPr>
              <w:t>75%；实现主要农作物化肥农药使用量零增长，化</w:t>
            </w:r>
            <w:r>
              <w:rPr>
                <w:spacing w:val="-10"/>
                <w:sz w:val="21"/>
              </w:rPr>
              <w:t xml:space="preserve">肥利用率提高到 </w:t>
            </w:r>
            <w:r>
              <w:rPr>
                <w:sz w:val="21"/>
              </w:rPr>
              <w:t>40</w:t>
            </w:r>
            <w:r>
              <w:rPr>
                <w:spacing w:val="-1"/>
                <w:sz w:val="21"/>
              </w:rPr>
              <w:t>%以上。</w:t>
            </w:r>
          </w:p>
        </w:tc>
        <w:tc>
          <w:tcPr>
            <w:tcW w:w="5943" w:type="dxa"/>
            <w:tcBorders>
              <w:top w:val="nil"/>
              <w:left w:val="single" w:color="000000" w:sz="8" w:space="0"/>
              <w:bottom w:val="single" w:color="000000" w:sz="8" w:space="0"/>
              <w:right w:val="single" w:color="000000" w:sz="8" w:space="0"/>
            </w:tcBorders>
          </w:tcPr>
          <w:p>
            <w:pPr>
              <w:pStyle w:val="12"/>
              <w:rPr>
                <w:rFonts w:ascii="Times New Roman"/>
                <w:sz w:val="20"/>
              </w:rPr>
            </w:pPr>
          </w:p>
        </w:tc>
      </w:tr>
    </w:tbl>
    <w:p>
      <w:pPr>
        <w:rPr>
          <w:rFonts w:ascii="Times New Roman"/>
          <w:sz w:val="20"/>
        </w:rPr>
        <w:sectPr>
          <w:pgSz w:w="23760" w:h="16790" w:orient="landscape"/>
          <w:pgMar w:top="1080" w:right="660" w:bottom="1080" w:left="860" w:header="0" w:footer="894" w:gutter="0"/>
          <w:cols w:space="720" w:num="1"/>
        </w:sectPr>
      </w:pPr>
    </w:p>
    <w:p>
      <w:pPr>
        <w:pStyle w:val="8"/>
        <w:numPr>
          <w:ilvl w:val="1"/>
          <w:numId w:val="2"/>
        </w:numPr>
        <w:tabs>
          <w:tab w:val="left" w:pos="1212"/>
        </w:tabs>
        <w:ind w:left="1211" w:hanging="632"/>
      </w:pPr>
      <w:bookmarkStart w:id="4" w:name="_TOC_250002"/>
      <w:bookmarkEnd w:id="4"/>
      <w:r>
        <w:t>全省土壤环境总体管控要求</w:t>
      </w:r>
    </w:p>
    <w:p>
      <w:pPr>
        <w:pStyle w:val="2"/>
        <w:spacing w:before="8"/>
        <w:rPr>
          <w:sz w:val="38"/>
        </w:rPr>
      </w:pPr>
      <w:r>
        <w:br w:type="column"/>
      </w:r>
    </w:p>
    <w:p>
      <w:pPr>
        <w:pStyle w:val="9"/>
        <w:tabs>
          <w:tab w:val="left" w:pos="1422"/>
        </w:tabs>
        <w:spacing w:before="0"/>
        <w:ind w:left="580"/>
        <w:jc w:val="left"/>
      </w:pPr>
      <w:r>
        <w:t>表</w:t>
      </w:r>
      <w:r>
        <w:rPr>
          <w:spacing w:val="-60"/>
        </w:rPr>
        <w:t xml:space="preserve"> </w:t>
      </w:r>
      <w:r>
        <w:rPr>
          <w:rFonts w:ascii="Times New Roman" w:eastAsia="Times New Roman"/>
        </w:rPr>
        <w:t>1.4</w:t>
      </w:r>
      <w:r>
        <w:rPr>
          <w:rFonts w:ascii="Times New Roman" w:eastAsia="Times New Roman"/>
        </w:rPr>
        <w:tab/>
      </w:r>
      <w:r>
        <w:t>贵州省土壤环境普适性管控要求</w:t>
      </w:r>
    </w:p>
    <w:p>
      <w:pPr>
        <w:sectPr>
          <w:pgSz w:w="23760" w:h="16790" w:orient="landscape"/>
          <w:pgMar w:top="1400" w:right="660" w:bottom="1080" w:left="860" w:header="0" w:footer="894" w:gutter="0"/>
          <w:cols w:equalWidth="0" w:num="2">
            <w:col w:w="5572" w:space="2419"/>
            <w:col w:w="14249"/>
          </w:cols>
        </w:sectPr>
      </w:pPr>
    </w:p>
    <w:tbl>
      <w:tblPr>
        <w:tblStyle w:val="3"/>
        <w:tblW w:w="20572"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1557"/>
        <w:gridCol w:w="1418"/>
        <w:gridCol w:w="1419"/>
        <w:gridCol w:w="8866"/>
        <w:gridCol w:w="6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tcPr>
          <w:p>
            <w:pPr>
              <w:pStyle w:val="12"/>
              <w:spacing w:before="1" w:line="252" w:lineRule="exact"/>
              <w:ind w:left="630"/>
              <w:rPr>
                <w:b/>
                <w:sz w:val="21"/>
              </w:rPr>
            </w:pPr>
            <w:r>
              <w:rPr>
                <w:b/>
                <w:sz w:val="21"/>
              </w:rPr>
              <w:t>分类</w:t>
            </w:r>
          </w:p>
        </w:tc>
        <w:tc>
          <w:tcPr>
            <w:tcW w:w="1557" w:type="dxa"/>
          </w:tcPr>
          <w:p>
            <w:pPr>
              <w:pStyle w:val="12"/>
              <w:spacing w:before="1" w:line="252" w:lineRule="exact"/>
              <w:ind w:left="780"/>
              <w:rPr>
                <w:b/>
                <w:sz w:val="21"/>
              </w:rPr>
            </w:pPr>
            <w:r>
              <w:rPr>
                <w:b/>
                <w:sz w:val="21"/>
              </w:rPr>
              <w:t>属性</w:t>
            </w:r>
          </w:p>
        </w:tc>
        <w:tc>
          <w:tcPr>
            <w:tcW w:w="2837" w:type="dxa"/>
            <w:gridSpan w:val="2"/>
          </w:tcPr>
          <w:p>
            <w:pPr>
              <w:pStyle w:val="12"/>
              <w:spacing w:before="1" w:line="252" w:lineRule="exact"/>
              <w:ind w:left="1396" w:right="968"/>
              <w:jc w:val="center"/>
              <w:rPr>
                <w:b/>
                <w:sz w:val="21"/>
              </w:rPr>
            </w:pPr>
            <w:r>
              <w:rPr>
                <w:b/>
                <w:sz w:val="21"/>
              </w:rPr>
              <w:t>管控</w:t>
            </w:r>
          </w:p>
        </w:tc>
        <w:tc>
          <w:tcPr>
            <w:tcW w:w="8866" w:type="dxa"/>
          </w:tcPr>
          <w:p>
            <w:pPr>
              <w:pStyle w:val="12"/>
              <w:spacing w:before="1" w:line="252" w:lineRule="exact"/>
              <w:ind w:left="4097" w:right="3663"/>
              <w:jc w:val="center"/>
              <w:rPr>
                <w:b/>
                <w:sz w:val="21"/>
              </w:rPr>
            </w:pPr>
            <w:r>
              <w:rPr>
                <w:b/>
                <w:sz w:val="21"/>
              </w:rPr>
              <w:t>管控和要求</w:t>
            </w:r>
          </w:p>
        </w:tc>
        <w:tc>
          <w:tcPr>
            <w:tcW w:w="6047" w:type="dxa"/>
          </w:tcPr>
          <w:p>
            <w:pPr>
              <w:pStyle w:val="12"/>
              <w:spacing w:before="1" w:line="252" w:lineRule="exact"/>
              <w:ind w:left="2584" w:right="2148"/>
              <w:jc w:val="center"/>
              <w:rPr>
                <w:b/>
                <w:sz w:val="21"/>
              </w:rPr>
            </w:pPr>
            <w:r>
              <w:rPr>
                <w:b/>
                <w:sz w:val="21"/>
              </w:rPr>
              <w:t>管控要求来源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7"/>
              <w:rPr>
                <w:b/>
                <w:sz w:val="25"/>
              </w:rPr>
            </w:pPr>
          </w:p>
          <w:p>
            <w:pPr>
              <w:pStyle w:val="12"/>
              <w:spacing w:before="1"/>
              <w:ind w:left="107"/>
              <w:rPr>
                <w:sz w:val="21"/>
              </w:rPr>
            </w:pPr>
            <w:r>
              <w:rPr>
                <w:sz w:val="21"/>
              </w:rPr>
              <w:t>优先保护</w:t>
            </w:r>
          </w:p>
        </w:tc>
        <w:tc>
          <w:tcPr>
            <w:tcW w:w="1557"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14"/>
              </w:rPr>
            </w:pPr>
          </w:p>
          <w:p>
            <w:pPr>
              <w:pStyle w:val="12"/>
              <w:spacing w:before="1" w:line="242" w:lineRule="auto"/>
              <w:ind w:left="108" w:right="174"/>
              <w:rPr>
                <w:sz w:val="21"/>
              </w:rPr>
            </w:pPr>
            <w:r>
              <w:rPr>
                <w:sz w:val="21"/>
              </w:rPr>
              <w:t>农用地优先保护区</w:t>
            </w:r>
          </w:p>
        </w:tc>
        <w:tc>
          <w:tcPr>
            <w:tcW w:w="1418"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9" w:line="242" w:lineRule="auto"/>
              <w:ind w:left="108" w:right="243"/>
              <w:rPr>
                <w:sz w:val="21"/>
              </w:rPr>
            </w:pPr>
            <w:r>
              <w:rPr>
                <w:sz w:val="21"/>
              </w:rPr>
              <w:t>空间布局约束</w:t>
            </w:r>
          </w:p>
        </w:tc>
        <w:tc>
          <w:tcPr>
            <w:tcW w:w="1419" w:type="dxa"/>
            <w:vMerge w:val="restart"/>
          </w:tcPr>
          <w:p>
            <w:pPr>
              <w:pStyle w:val="12"/>
              <w:rPr>
                <w:b/>
                <w:sz w:val="20"/>
              </w:rPr>
            </w:pPr>
          </w:p>
          <w:p>
            <w:pPr>
              <w:pStyle w:val="12"/>
              <w:spacing w:before="167" w:line="242" w:lineRule="auto"/>
              <w:ind w:left="108" w:right="244"/>
              <w:jc w:val="both"/>
              <w:rPr>
                <w:sz w:val="21"/>
              </w:rPr>
            </w:pPr>
            <w:r>
              <w:rPr>
                <w:sz w:val="21"/>
              </w:rPr>
              <w:t>禁止开发建设活动的要求</w:t>
            </w:r>
          </w:p>
        </w:tc>
        <w:tc>
          <w:tcPr>
            <w:tcW w:w="8866" w:type="dxa"/>
          </w:tcPr>
          <w:p>
            <w:pPr>
              <w:pStyle w:val="12"/>
              <w:spacing w:before="1"/>
              <w:ind w:left="528" w:right="-15"/>
              <w:rPr>
                <w:sz w:val="21"/>
              </w:rPr>
            </w:pPr>
            <w:r>
              <w:rPr>
                <w:rFonts w:hint="eastAsia" w:ascii="宋体" w:eastAsia="宋体"/>
                <w:sz w:val="21"/>
              </w:rPr>
              <w:t>1.</w:t>
            </w:r>
            <w:r>
              <w:rPr>
                <w:spacing w:val="-9"/>
                <w:sz w:val="21"/>
              </w:rPr>
              <w:t>禁止任何单位和个人在基本农田保护区内建窑，建房、建坟、挖砂、采石、采矿、取土、</w:t>
            </w:r>
          </w:p>
          <w:p>
            <w:pPr>
              <w:pStyle w:val="12"/>
              <w:spacing w:before="2" w:line="252" w:lineRule="exact"/>
              <w:ind w:left="108"/>
              <w:rPr>
                <w:sz w:val="21"/>
              </w:rPr>
            </w:pPr>
            <w:r>
              <w:rPr>
                <w:sz w:val="21"/>
              </w:rPr>
              <w:t>堆放固体废弃物或者进行其他破坏基本农田的活动。</w:t>
            </w:r>
          </w:p>
        </w:tc>
        <w:tc>
          <w:tcPr>
            <w:tcW w:w="6047" w:type="dxa"/>
          </w:tcPr>
          <w:p>
            <w:pPr>
              <w:pStyle w:val="12"/>
              <w:spacing w:before="137"/>
              <w:ind w:left="528"/>
              <w:rPr>
                <w:sz w:val="21"/>
              </w:rPr>
            </w:pPr>
            <w:r>
              <w:rPr>
                <w:sz w:val="21"/>
              </w:rPr>
              <w:t>《中华人民共和国基本农田保护条例》；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8866" w:type="dxa"/>
          </w:tcPr>
          <w:p>
            <w:pPr>
              <w:pStyle w:val="12"/>
              <w:spacing w:before="1" w:line="252" w:lineRule="exact"/>
              <w:ind w:left="528"/>
              <w:rPr>
                <w:sz w:val="21"/>
              </w:rPr>
            </w:pPr>
            <w:r>
              <w:rPr>
                <w:rFonts w:hint="eastAsia" w:ascii="宋体" w:eastAsia="宋体"/>
                <w:sz w:val="21"/>
              </w:rPr>
              <w:t>2.</w:t>
            </w:r>
            <w:r>
              <w:rPr>
                <w:sz w:val="21"/>
              </w:rPr>
              <w:t>禁止任何单位和个人占用基本农田发展林果业和挖塘养鱼。</w:t>
            </w:r>
          </w:p>
        </w:tc>
        <w:tc>
          <w:tcPr>
            <w:tcW w:w="6047" w:type="dxa"/>
          </w:tcPr>
          <w:p>
            <w:pPr>
              <w:pStyle w:val="12"/>
              <w:spacing w:before="1" w:line="252" w:lineRule="exact"/>
              <w:ind w:left="528"/>
              <w:rPr>
                <w:sz w:val="21"/>
              </w:rPr>
            </w:pPr>
            <w:r>
              <w:rPr>
                <w:sz w:val="21"/>
              </w:rPr>
              <w:t>《中华人民共和国基本农田保护条例》；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8866" w:type="dxa"/>
          </w:tcPr>
          <w:p>
            <w:pPr>
              <w:pStyle w:val="12"/>
              <w:spacing w:before="1"/>
              <w:ind w:left="528"/>
              <w:rPr>
                <w:sz w:val="21"/>
              </w:rPr>
            </w:pPr>
            <w:r>
              <w:rPr>
                <w:rFonts w:hint="eastAsia" w:ascii="宋体" w:eastAsia="宋体"/>
                <w:sz w:val="21"/>
              </w:rPr>
              <w:t>3.</w:t>
            </w:r>
            <w:r>
              <w:rPr>
                <w:sz w:val="21"/>
              </w:rPr>
              <w:t>禁止在优先保护类耕地周边新建有色金属矿采选、有色金属冶炼、化工、焦化、电镀、</w:t>
            </w:r>
          </w:p>
          <w:p>
            <w:pPr>
              <w:pStyle w:val="12"/>
              <w:spacing w:before="2" w:line="252" w:lineRule="exact"/>
              <w:ind w:left="108"/>
              <w:rPr>
                <w:sz w:val="21"/>
              </w:rPr>
            </w:pPr>
            <w:r>
              <w:rPr>
                <w:sz w:val="21"/>
              </w:rPr>
              <w:t>电子废物拆解等行业企业。</w:t>
            </w:r>
          </w:p>
        </w:tc>
        <w:tc>
          <w:tcPr>
            <w:tcW w:w="6047" w:type="dxa"/>
          </w:tcPr>
          <w:p>
            <w:pPr>
              <w:pStyle w:val="12"/>
              <w:spacing w:before="1"/>
              <w:ind w:left="528"/>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2" w:line="252" w:lineRule="exact"/>
              <w:ind w:left="108"/>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8866" w:type="dxa"/>
          </w:tcPr>
          <w:p>
            <w:pPr>
              <w:pStyle w:val="12"/>
              <w:spacing w:before="1" w:line="250" w:lineRule="exact"/>
              <w:ind w:left="528"/>
              <w:rPr>
                <w:sz w:val="21"/>
              </w:rPr>
            </w:pPr>
            <w:r>
              <w:rPr>
                <w:rFonts w:hint="eastAsia" w:ascii="宋体" w:eastAsia="宋体"/>
                <w:sz w:val="21"/>
              </w:rPr>
              <w:t>4.</w:t>
            </w:r>
            <w:r>
              <w:rPr>
                <w:sz w:val="21"/>
              </w:rPr>
              <w:t>法律、法规禁止的其他行为。</w:t>
            </w:r>
          </w:p>
        </w:tc>
        <w:tc>
          <w:tcPr>
            <w:tcW w:w="604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restart"/>
          </w:tcPr>
          <w:p>
            <w:pPr>
              <w:pStyle w:val="12"/>
              <w:rPr>
                <w:b/>
                <w:sz w:val="20"/>
              </w:rPr>
            </w:pPr>
          </w:p>
          <w:p>
            <w:pPr>
              <w:pStyle w:val="12"/>
              <w:spacing w:before="164" w:line="242" w:lineRule="auto"/>
              <w:ind w:left="108" w:right="244"/>
              <w:jc w:val="both"/>
              <w:rPr>
                <w:sz w:val="21"/>
              </w:rPr>
            </w:pPr>
            <w:r>
              <w:rPr>
                <w:sz w:val="21"/>
              </w:rPr>
              <w:t>限制开发建设活动的要求</w:t>
            </w:r>
          </w:p>
        </w:tc>
        <w:tc>
          <w:tcPr>
            <w:tcW w:w="8866" w:type="dxa"/>
          </w:tcPr>
          <w:p>
            <w:pPr>
              <w:pStyle w:val="12"/>
              <w:spacing w:before="1"/>
              <w:ind w:left="528"/>
              <w:rPr>
                <w:sz w:val="21"/>
              </w:rPr>
            </w:pPr>
            <w:r>
              <w:rPr>
                <w:rFonts w:hint="eastAsia" w:ascii="宋体" w:eastAsia="宋体"/>
                <w:sz w:val="21"/>
              </w:rPr>
              <w:t>1.</w:t>
            </w:r>
            <w:r>
              <w:rPr>
                <w:sz w:val="21"/>
              </w:rPr>
              <w:t>实行严格保护，确保其面积不减少、土壤环境质量不下降，除法律规定的重要建设项目</w:t>
            </w:r>
          </w:p>
          <w:p>
            <w:pPr>
              <w:pStyle w:val="12"/>
              <w:spacing w:before="4" w:line="250" w:lineRule="exact"/>
              <w:ind w:left="108"/>
              <w:rPr>
                <w:sz w:val="21"/>
              </w:rPr>
            </w:pPr>
            <w:r>
              <w:rPr>
                <w:sz w:val="21"/>
              </w:rPr>
              <w:t>选址确实无法避让外，其他任何建设不得占用。</w:t>
            </w:r>
          </w:p>
        </w:tc>
        <w:tc>
          <w:tcPr>
            <w:tcW w:w="6047" w:type="dxa"/>
          </w:tcPr>
          <w:p>
            <w:pPr>
              <w:pStyle w:val="12"/>
              <w:spacing w:before="1"/>
              <w:ind w:left="528"/>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4" w:line="250" w:lineRule="exact"/>
              <w:ind w:left="108"/>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8866" w:type="dxa"/>
          </w:tcPr>
          <w:p>
            <w:pPr>
              <w:pStyle w:val="12"/>
              <w:spacing w:before="4" w:line="242" w:lineRule="auto"/>
              <w:ind w:left="108" w:right="-15" w:firstLine="420"/>
              <w:rPr>
                <w:sz w:val="21"/>
              </w:rPr>
            </w:pPr>
            <w:r>
              <w:rPr>
                <w:rFonts w:hint="eastAsia" w:ascii="宋体" w:eastAsia="宋体"/>
                <w:sz w:val="21"/>
              </w:rPr>
              <w:t>2.</w:t>
            </w:r>
            <w:r>
              <w:rPr>
                <w:spacing w:val="-4"/>
                <w:sz w:val="21"/>
              </w:rPr>
              <w:t>严格控制在优先保护类耕地集中区域新建有色金属冶炼、化工、焦化、电镀、电子废物</w:t>
            </w:r>
            <w:r>
              <w:rPr>
                <w:spacing w:val="-8"/>
                <w:sz w:val="21"/>
              </w:rPr>
              <w:t>拆解等行业企业，鼓励现有相关行业企业要采用新技术、新工艺、新设备，加快技改转型步伐，</w:t>
            </w:r>
          </w:p>
          <w:p>
            <w:pPr>
              <w:pStyle w:val="12"/>
              <w:spacing w:before="1" w:line="250" w:lineRule="exact"/>
              <w:ind w:left="108"/>
              <w:rPr>
                <w:sz w:val="21"/>
              </w:rPr>
            </w:pPr>
            <w:r>
              <w:rPr>
                <w:sz w:val="21"/>
              </w:rPr>
              <w:t>对工艺技术落后的企业责令限期整改。</w:t>
            </w:r>
          </w:p>
        </w:tc>
        <w:tc>
          <w:tcPr>
            <w:tcW w:w="6047" w:type="dxa"/>
          </w:tcPr>
          <w:p>
            <w:pPr>
              <w:pStyle w:val="12"/>
              <w:spacing w:before="138" w:line="244" w:lineRule="auto"/>
              <w:ind w:left="108" w:right="251" w:firstLine="420"/>
              <w:rPr>
                <w:sz w:val="21"/>
              </w:rPr>
            </w:pPr>
            <w:r>
              <w:rPr>
                <w:spacing w:val="-3"/>
                <w:sz w:val="21"/>
              </w:rPr>
              <w:t>《省人民政府关于印发</w:t>
            </w:r>
            <w:r>
              <w:rPr>
                <w:rFonts w:hint="eastAsia" w:ascii="宋体" w:eastAsia="宋体"/>
                <w:spacing w:val="-3"/>
                <w:sz w:val="21"/>
              </w:rPr>
              <w:t>&lt;</w:t>
            </w:r>
            <w:r>
              <w:rPr>
                <w:spacing w:val="-3"/>
                <w:sz w:val="21"/>
              </w:rPr>
              <w:t>贵州省土壤污染防治工作方案</w:t>
            </w:r>
            <w:r>
              <w:rPr>
                <w:rFonts w:hint="eastAsia" w:ascii="宋体" w:eastAsia="宋体"/>
                <w:sz w:val="21"/>
              </w:rPr>
              <w:t>&gt;</w:t>
            </w:r>
            <w:r>
              <w:rPr>
                <w:sz w:val="21"/>
              </w:rPr>
              <w:t>的</w:t>
            </w:r>
            <w:r>
              <w:rPr>
                <w:spacing w:val="-1"/>
                <w:sz w:val="21"/>
              </w:rPr>
              <w:t>通知》</w:t>
            </w:r>
            <w:r>
              <w:rPr>
                <w:sz w:val="21"/>
              </w:rPr>
              <w:t>（</w:t>
            </w:r>
            <w:r>
              <w:rPr>
                <w:spacing w:val="-2"/>
                <w:sz w:val="21"/>
              </w:rPr>
              <w:t>黔府发</w:t>
            </w: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8866" w:type="dxa"/>
          </w:tcPr>
          <w:p>
            <w:pPr>
              <w:pStyle w:val="12"/>
              <w:spacing w:before="1" w:line="252" w:lineRule="exact"/>
              <w:ind w:left="528"/>
              <w:rPr>
                <w:sz w:val="21"/>
              </w:rPr>
            </w:pPr>
            <w:r>
              <w:rPr>
                <w:rFonts w:hint="eastAsia" w:ascii="宋体" w:eastAsia="宋体"/>
                <w:sz w:val="21"/>
              </w:rPr>
              <w:t>3.</w:t>
            </w:r>
            <w:r>
              <w:rPr>
                <w:sz w:val="21"/>
              </w:rPr>
              <w:t>法律、法规限制的其他行为。</w:t>
            </w:r>
          </w:p>
        </w:tc>
        <w:tc>
          <w:tcPr>
            <w:tcW w:w="604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restart"/>
          </w:tcPr>
          <w:p>
            <w:pPr>
              <w:pStyle w:val="12"/>
              <w:spacing w:before="1" w:line="242" w:lineRule="auto"/>
              <w:ind w:left="108" w:right="244"/>
              <w:jc w:val="both"/>
              <w:rPr>
                <w:sz w:val="21"/>
              </w:rPr>
            </w:pPr>
            <w:r>
              <w:rPr>
                <w:sz w:val="21"/>
              </w:rPr>
              <w:t>不符合空间布局要求活动的退出要</w:t>
            </w:r>
          </w:p>
          <w:p>
            <w:pPr>
              <w:pStyle w:val="12"/>
              <w:spacing w:line="252" w:lineRule="exact"/>
              <w:ind w:left="108"/>
              <w:rPr>
                <w:sz w:val="21"/>
              </w:rPr>
            </w:pPr>
            <w:r>
              <w:rPr>
                <w:sz w:val="21"/>
              </w:rPr>
              <w:t>求</w:t>
            </w:r>
          </w:p>
        </w:tc>
        <w:tc>
          <w:tcPr>
            <w:tcW w:w="8866" w:type="dxa"/>
          </w:tcPr>
          <w:p>
            <w:pPr>
              <w:pStyle w:val="12"/>
              <w:spacing w:before="1"/>
              <w:ind w:left="528"/>
              <w:rPr>
                <w:sz w:val="21"/>
              </w:rPr>
            </w:pPr>
            <w:r>
              <w:rPr>
                <w:rFonts w:hint="eastAsia" w:ascii="宋体" w:eastAsia="宋体"/>
                <w:sz w:val="21"/>
              </w:rPr>
              <w:t>1.</w:t>
            </w:r>
            <w:r>
              <w:rPr>
                <w:sz w:val="21"/>
              </w:rPr>
              <w:t>在永久基本农田集中区域，不得新建可能造成土壤污染的建设项目；已建成的，应当限</w:t>
            </w:r>
          </w:p>
          <w:p>
            <w:pPr>
              <w:pStyle w:val="12"/>
              <w:spacing w:before="2" w:line="252" w:lineRule="exact"/>
              <w:ind w:left="108"/>
              <w:rPr>
                <w:sz w:val="21"/>
              </w:rPr>
            </w:pPr>
            <w:r>
              <w:rPr>
                <w:sz w:val="21"/>
              </w:rPr>
              <w:t>期关闭拆除。</w:t>
            </w:r>
          </w:p>
        </w:tc>
        <w:tc>
          <w:tcPr>
            <w:tcW w:w="6047" w:type="dxa"/>
          </w:tcPr>
          <w:p>
            <w:pPr>
              <w:pStyle w:val="12"/>
              <w:spacing w:before="137"/>
              <w:ind w:left="528"/>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8866" w:type="dxa"/>
          </w:tcPr>
          <w:p>
            <w:pPr>
              <w:pStyle w:val="12"/>
              <w:spacing w:before="133"/>
              <w:ind w:left="528"/>
              <w:rPr>
                <w:sz w:val="21"/>
              </w:rPr>
            </w:pPr>
            <w:r>
              <w:rPr>
                <w:rFonts w:hint="eastAsia" w:ascii="宋体" w:eastAsia="宋体"/>
                <w:sz w:val="21"/>
              </w:rPr>
              <w:t>2.</w:t>
            </w:r>
            <w:r>
              <w:rPr>
                <w:sz w:val="21"/>
              </w:rPr>
              <w:t>法律、法规规定的其他退出要求。</w:t>
            </w:r>
          </w:p>
        </w:tc>
        <w:tc>
          <w:tcPr>
            <w:tcW w:w="604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restart"/>
          </w:tcPr>
          <w:p>
            <w:pPr>
              <w:pStyle w:val="12"/>
              <w:rPr>
                <w:b/>
                <w:sz w:val="20"/>
              </w:rPr>
            </w:pPr>
          </w:p>
          <w:p>
            <w:pPr>
              <w:pStyle w:val="12"/>
              <w:spacing w:before="157"/>
              <w:ind w:left="528"/>
              <w:rPr>
                <w:sz w:val="21"/>
              </w:rPr>
            </w:pPr>
            <w:r>
              <w:rPr>
                <w:sz w:val="21"/>
              </w:rPr>
              <w:t>环境风险防范</w:t>
            </w:r>
          </w:p>
        </w:tc>
        <w:tc>
          <w:tcPr>
            <w:tcW w:w="8866" w:type="dxa"/>
          </w:tcPr>
          <w:p>
            <w:pPr>
              <w:pStyle w:val="12"/>
              <w:spacing w:before="1"/>
              <w:ind w:left="528"/>
              <w:rPr>
                <w:sz w:val="21"/>
              </w:rPr>
            </w:pPr>
            <w:r>
              <w:rPr>
                <w:rFonts w:hint="eastAsia" w:ascii="宋体" w:eastAsia="宋体"/>
                <w:sz w:val="21"/>
              </w:rPr>
              <w:t>1.</w:t>
            </w:r>
            <w:r>
              <w:rPr>
                <w:sz w:val="21"/>
              </w:rPr>
              <w:t>优先保护类耕地集中区域现有可能造成土壤污染的相关行业企业应当按照有关规定采取</w:t>
            </w:r>
          </w:p>
          <w:p>
            <w:pPr>
              <w:pStyle w:val="12"/>
              <w:spacing w:before="2" w:line="252" w:lineRule="exact"/>
              <w:ind w:left="108"/>
              <w:rPr>
                <w:sz w:val="21"/>
              </w:rPr>
            </w:pPr>
            <w:r>
              <w:rPr>
                <w:sz w:val="21"/>
              </w:rPr>
              <w:t>措施，防止对耕地造成污染。</w:t>
            </w:r>
          </w:p>
        </w:tc>
        <w:tc>
          <w:tcPr>
            <w:tcW w:w="6047" w:type="dxa"/>
          </w:tcPr>
          <w:p>
            <w:pPr>
              <w:pStyle w:val="12"/>
              <w:spacing w:before="1"/>
              <w:ind w:left="528"/>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2" w:line="252" w:lineRule="exact"/>
              <w:ind w:left="108"/>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ind w:left="528"/>
              <w:rPr>
                <w:sz w:val="21"/>
              </w:rPr>
            </w:pPr>
            <w:r>
              <w:rPr>
                <w:rFonts w:hint="eastAsia" w:ascii="宋体" w:eastAsia="宋体"/>
                <w:sz w:val="21"/>
              </w:rPr>
              <w:t>2.</w:t>
            </w:r>
            <w:r>
              <w:rPr>
                <w:sz w:val="21"/>
              </w:rPr>
              <w:t>推行秸秆还田、化肥农药减量化、增施有机肥、少耕免耕与轮作、农膜减量与回收利用</w:t>
            </w:r>
          </w:p>
          <w:p>
            <w:pPr>
              <w:pStyle w:val="12"/>
              <w:spacing w:before="2" w:line="252" w:lineRule="exact"/>
              <w:ind w:left="108"/>
              <w:rPr>
                <w:sz w:val="21"/>
              </w:rPr>
            </w:pPr>
            <w:r>
              <w:rPr>
                <w:sz w:val="21"/>
              </w:rPr>
              <w:t>等措施，切实保护优先保护类耕地土壤环境质量。</w:t>
            </w:r>
          </w:p>
        </w:tc>
        <w:tc>
          <w:tcPr>
            <w:tcW w:w="6047" w:type="dxa"/>
          </w:tcPr>
          <w:p>
            <w:pPr>
              <w:pStyle w:val="12"/>
              <w:spacing w:before="137"/>
              <w:ind w:left="528"/>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9"/>
              <w:rPr>
                <w:b/>
                <w:sz w:val="21"/>
              </w:rPr>
            </w:pPr>
          </w:p>
          <w:p>
            <w:pPr>
              <w:pStyle w:val="12"/>
              <w:ind w:left="107"/>
              <w:rPr>
                <w:sz w:val="21"/>
              </w:rPr>
            </w:pPr>
            <w:r>
              <w:rPr>
                <w:sz w:val="21"/>
              </w:rPr>
              <w:t>重点管控</w:t>
            </w:r>
          </w:p>
        </w:tc>
        <w:tc>
          <w:tcPr>
            <w:tcW w:w="1557" w:type="dxa"/>
            <w:vMerge w:val="restart"/>
          </w:tcPr>
          <w:p>
            <w:pPr>
              <w:pStyle w:val="12"/>
              <w:rPr>
                <w:b/>
                <w:sz w:val="20"/>
              </w:rPr>
            </w:pPr>
          </w:p>
          <w:p>
            <w:pPr>
              <w:pStyle w:val="12"/>
              <w:spacing w:before="170" w:line="242" w:lineRule="auto"/>
              <w:ind w:left="108" w:right="174"/>
              <w:rPr>
                <w:sz w:val="21"/>
              </w:rPr>
            </w:pPr>
            <w:r>
              <w:rPr>
                <w:sz w:val="21"/>
              </w:rPr>
              <w:t>农用地污染风险管控</w:t>
            </w:r>
            <w:r>
              <w:rPr>
                <w:rFonts w:hint="eastAsia" w:ascii="宋体" w:eastAsia="宋体"/>
                <w:sz w:val="21"/>
              </w:rPr>
              <w:t>-</w:t>
            </w:r>
            <w:r>
              <w:rPr>
                <w:sz w:val="21"/>
              </w:rPr>
              <w:t>安全利用类</w:t>
            </w:r>
          </w:p>
        </w:tc>
        <w:tc>
          <w:tcPr>
            <w:tcW w:w="2837" w:type="dxa"/>
            <w:gridSpan w:val="2"/>
            <w:vMerge w:val="restart"/>
          </w:tcPr>
          <w:p>
            <w:pPr>
              <w:pStyle w:val="12"/>
              <w:rPr>
                <w:b/>
                <w:sz w:val="20"/>
              </w:rPr>
            </w:pPr>
          </w:p>
          <w:p>
            <w:pPr>
              <w:pStyle w:val="12"/>
              <w:rPr>
                <w:b/>
                <w:sz w:val="20"/>
              </w:rPr>
            </w:pPr>
          </w:p>
          <w:p>
            <w:pPr>
              <w:pStyle w:val="12"/>
              <w:spacing w:before="5"/>
              <w:rPr>
                <w:b/>
                <w:sz w:val="14"/>
              </w:rPr>
            </w:pPr>
          </w:p>
          <w:p>
            <w:pPr>
              <w:pStyle w:val="12"/>
              <w:ind w:left="528"/>
              <w:rPr>
                <w:sz w:val="21"/>
              </w:rPr>
            </w:pPr>
            <w:r>
              <w:rPr>
                <w:sz w:val="21"/>
              </w:rPr>
              <w:t>环境风险防控</w:t>
            </w:r>
          </w:p>
        </w:tc>
        <w:tc>
          <w:tcPr>
            <w:tcW w:w="8866" w:type="dxa"/>
          </w:tcPr>
          <w:p>
            <w:pPr>
              <w:pStyle w:val="12"/>
              <w:spacing w:before="1"/>
              <w:ind w:left="528"/>
              <w:rPr>
                <w:sz w:val="21"/>
              </w:rPr>
            </w:pPr>
            <w:r>
              <w:rPr>
                <w:rFonts w:hint="eastAsia" w:ascii="宋体" w:eastAsia="宋体"/>
                <w:sz w:val="21"/>
              </w:rPr>
              <w:t>1.</w:t>
            </w:r>
            <w:r>
              <w:rPr>
                <w:sz w:val="21"/>
              </w:rPr>
              <w:t>针对主要农作物种类、品种和农作制度等具体情况，采取农艺调控、替代种植等措施，</w:t>
            </w:r>
          </w:p>
          <w:p>
            <w:pPr>
              <w:pStyle w:val="12"/>
              <w:spacing w:before="5" w:line="250" w:lineRule="exact"/>
              <w:ind w:left="108"/>
              <w:rPr>
                <w:sz w:val="21"/>
              </w:rPr>
            </w:pPr>
            <w:r>
              <w:rPr>
                <w:sz w:val="21"/>
              </w:rPr>
              <w:t>降低农产品中有害物质超标风险。</w:t>
            </w:r>
          </w:p>
        </w:tc>
        <w:tc>
          <w:tcPr>
            <w:tcW w:w="6047" w:type="dxa"/>
          </w:tcPr>
          <w:p>
            <w:pPr>
              <w:pStyle w:val="12"/>
              <w:spacing w:before="1"/>
              <w:ind w:left="528"/>
              <w:rPr>
                <w:sz w:val="21"/>
              </w:rPr>
            </w:pPr>
            <w:r>
              <w:rPr>
                <w:sz w:val="21"/>
              </w:rPr>
              <w:t>《省人民政府关于印发</w:t>
            </w:r>
            <w:r>
              <w:rPr>
                <w:rFonts w:hint="eastAsia" w:ascii="宋体" w:eastAsia="宋体"/>
                <w:sz w:val="21"/>
              </w:rPr>
              <w:t>&lt;</w:t>
            </w:r>
            <w:r>
              <w:rPr>
                <w:sz w:val="21"/>
              </w:rPr>
              <w:t>贵州省土壤污染防治工作方案</w:t>
            </w:r>
            <w:r>
              <w:rPr>
                <w:rFonts w:hint="eastAsia" w:ascii="宋体" w:eastAsia="宋体"/>
                <w:sz w:val="21"/>
              </w:rPr>
              <w:t>&gt;</w:t>
            </w:r>
            <w:r>
              <w:rPr>
                <w:sz w:val="21"/>
              </w:rPr>
              <w:t>的</w:t>
            </w:r>
          </w:p>
          <w:p>
            <w:pPr>
              <w:pStyle w:val="12"/>
              <w:spacing w:before="5" w:line="250" w:lineRule="exact"/>
              <w:ind w:left="108"/>
              <w:rPr>
                <w:sz w:val="21"/>
              </w:rPr>
            </w:pPr>
            <w:r>
              <w:rPr>
                <w:spacing w:val="-1"/>
                <w:sz w:val="21"/>
              </w:rPr>
              <w:t>通知》</w:t>
            </w:r>
            <w:r>
              <w:rPr>
                <w:sz w:val="21"/>
              </w:rPr>
              <w:t>（</w:t>
            </w:r>
            <w:r>
              <w:rPr>
                <w:spacing w:val="-2"/>
                <w:sz w:val="21"/>
              </w:rPr>
              <w:t>黔府发</w:t>
            </w: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ind w:left="528"/>
              <w:rPr>
                <w:sz w:val="21"/>
              </w:rPr>
            </w:pPr>
            <w:r>
              <w:rPr>
                <w:rFonts w:hint="eastAsia" w:ascii="宋体" w:eastAsia="宋体"/>
                <w:sz w:val="21"/>
              </w:rPr>
              <w:t>2.</w:t>
            </w:r>
            <w:r>
              <w:rPr>
                <w:sz w:val="21"/>
              </w:rPr>
              <w:t>定期开展土壤和农产品协同监测与评价，实施跟踪监测，根据监测和评估结果及时优化</w:t>
            </w:r>
          </w:p>
          <w:p>
            <w:pPr>
              <w:pStyle w:val="12"/>
              <w:spacing w:before="4" w:line="250" w:lineRule="exact"/>
              <w:ind w:left="108"/>
              <w:rPr>
                <w:sz w:val="21"/>
              </w:rPr>
            </w:pPr>
            <w:r>
              <w:rPr>
                <w:sz w:val="21"/>
              </w:rPr>
              <w:t>调整农艺调控措施。</w:t>
            </w:r>
          </w:p>
        </w:tc>
        <w:tc>
          <w:tcPr>
            <w:tcW w:w="6047" w:type="dxa"/>
          </w:tcPr>
          <w:p>
            <w:pPr>
              <w:pStyle w:val="12"/>
              <w:spacing w:before="1"/>
              <w:ind w:left="528"/>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4" w:line="250" w:lineRule="exact"/>
              <w:ind w:left="108"/>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line="252" w:lineRule="exact"/>
              <w:ind w:left="528"/>
              <w:rPr>
                <w:sz w:val="21"/>
              </w:rPr>
            </w:pPr>
            <w:r>
              <w:rPr>
                <w:rFonts w:hint="eastAsia" w:ascii="宋体" w:eastAsia="宋体"/>
                <w:sz w:val="21"/>
              </w:rPr>
              <w:t>3.</w:t>
            </w:r>
            <w:r>
              <w:rPr>
                <w:sz w:val="21"/>
              </w:rPr>
              <w:t>对农民、农民专业合作社及其他农业生产经营主体进行技能培训和指导。</w:t>
            </w:r>
          </w:p>
        </w:tc>
        <w:tc>
          <w:tcPr>
            <w:tcW w:w="6047" w:type="dxa"/>
          </w:tcPr>
          <w:p>
            <w:pPr>
              <w:pStyle w:val="12"/>
              <w:spacing w:before="1" w:line="252" w:lineRule="exact"/>
              <w:ind w:left="528"/>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line="250" w:lineRule="exact"/>
              <w:ind w:left="528"/>
              <w:rPr>
                <w:sz w:val="21"/>
              </w:rPr>
            </w:pPr>
            <w:r>
              <w:rPr>
                <w:rFonts w:hint="eastAsia" w:ascii="宋体" w:eastAsia="宋体"/>
                <w:sz w:val="21"/>
              </w:rPr>
              <w:t>4.</w:t>
            </w:r>
            <w:r>
              <w:rPr>
                <w:sz w:val="21"/>
              </w:rPr>
              <w:t>其他风险防控措施。</w:t>
            </w:r>
          </w:p>
        </w:tc>
        <w:tc>
          <w:tcPr>
            <w:tcW w:w="604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restart"/>
          </w:tcPr>
          <w:p>
            <w:pPr>
              <w:pStyle w:val="12"/>
              <w:rPr>
                <w:b/>
                <w:sz w:val="20"/>
              </w:rPr>
            </w:pPr>
          </w:p>
          <w:p>
            <w:pPr>
              <w:pStyle w:val="12"/>
              <w:rPr>
                <w:b/>
                <w:sz w:val="20"/>
              </w:rPr>
            </w:pPr>
          </w:p>
          <w:p>
            <w:pPr>
              <w:pStyle w:val="12"/>
              <w:spacing w:before="4"/>
              <w:rPr>
                <w:b/>
                <w:sz w:val="15"/>
              </w:rPr>
            </w:pPr>
          </w:p>
          <w:p>
            <w:pPr>
              <w:pStyle w:val="12"/>
              <w:spacing w:line="242" w:lineRule="auto"/>
              <w:ind w:left="108" w:right="174"/>
              <w:rPr>
                <w:sz w:val="21"/>
              </w:rPr>
            </w:pPr>
            <w:r>
              <w:rPr>
                <w:sz w:val="21"/>
              </w:rPr>
              <w:t>农用地污染风险管控</w:t>
            </w:r>
            <w:r>
              <w:rPr>
                <w:rFonts w:hint="eastAsia" w:ascii="宋体" w:eastAsia="宋体"/>
                <w:sz w:val="21"/>
              </w:rPr>
              <w:t>-</w:t>
            </w:r>
            <w:r>
              <w:rPr>
                <w:sz w:val="21"/>
              </w:rPr>
              <w:t>风险管控类</w:t>
            </w:r>
          </w:p>
        </w:tc>
        <w:tc>
          <w:tcPr>
            <w:tcW w:w="2837" w:type="dxa"/>
            <w:gridSpan w:val="2"/>
            <w:vMerge w:val="restart"/>
          </w:tcPr>
          <w:p>
            <w:pPr>
              <w:pStyle w:val="12"/>
              <w:rPr>
                <w:b/>
                <w:sz w:val="20"/>
              </w:rPr>
            </w:pPr>
          </w:p>
          <w:p>
            <w:pPr>
              <w:pStyle w:val="12"/>
              <w:rPr>
                <w:b/>
                <w:sz w:val="20"/>
              </w:rPr>
            </w:pPr>
          </w:p>
          <w:p>
            <w:pPr>
              <w:pStyle w:val="12"/>
              <w:rPr>
                <w:b/>
                <w:sz w:val="20"/>
              </w:rPr>
            </w:pPr>
          </w:p>
          <w:p>
            <w:pPr>
              <w:pStyle w:val="12"/>
              <w:spacing w:before="6"/>
              <w:rPr>
                <w:b/>
                <w:sz w:val="16"/>
              </w:rPr>
            </w:pPr>
          </w:p>
          <w:p>
            <w:pPr>
              <w:pStyle w:val="12"/>
              <w:ind w:left="528"/>
              <w:rPr>
                <w:sz w:val="21"/>
              </w:rPr>
            </w:pPr>
            <w:r>
              <w:rPr>
                <w:sz w:val="21"/>
              </w:rPr>
              <w:t>环境风险防控</w:t>
            </w:r>
          </w:p>
        </w:tc>
        <w:tc>
          <w:tcPr>
            <w:tcW w:w="8866" w:type="dxa"/>
          </w:tcPr>
          <w:p>
            <w:pPr>
              <w:pStyle w:val="12"/>
              <w:spacing w:before="3" w:line="250" w:lineRule="exact"/>
              <w:ind w:left="528"/>
              <w:rPr>
                <w:sz w:val="21"/>
              </w:rPr>
            </w:pPr>
            <w:r>
              <w:rPr>
                <w:rFonts w:hint="eastAsia" w:ascii="宋体" w:eastAsia="宋体"/>
                <w:sz w:val="21"/>
              </w:rPr>
              <w:t>1.</w:t>
            </w:r>
            <w:r>
              <w:rPr>
                <w:sz w:val="21"/>
              </w:rPr>
              <w:t>依法划定特定农产品禁止生产区域，严禁种植食用农产品。</w:t>
            </w:r>
          </w:p>
        </w:tc>
        <w:tc>
          <w:tcPr>
            <w:tcW w:w="6047" w:type="dxa"/>
            <w:vMerge w:val="restart"/>
          </w:tcPr>
          <w:p>
            <w:pPr>
              <w:pStyle w:val="12"/>
              <w:spacing w:before="8"/>
              <w:ind w:left="528"/>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line="252" w:lineRule="exact"/>
              <w:ind w:left="528"/>
              <w:rPr>
                <w:sz w:val="21"/>
              </w:rPr>
            </w:pPr>
            <w:r>
              <w:rPr>
                <w:rFonts w:hint="eastAsia" w:ascii="宋体" w:eastAsia="宋体"/>
                <w:sz w:val="21"/>
              </w:rPr>
              <w:t>2.</w:t>
            </w:r>
            <w:r>
              <w:rPr>
                <w:sz w:val="21"/>
              </w:rPr>
              <w:t>对威胁地下水、饮用水水源安全的，要制定环境风险管控方案，并落实有关措施。</w:t>
            </w:r>
          </w:p>
        </w:tc>
        <w:tc>
          <w:tcPr>
            <w:tcW w:w="60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ind w:left="528"/>
              <w:rPr>
                <w:sz w:val="21"/>
              </w:rPr>
            </w:pPr>
            <w:r>
              <w:rPr>
                <w:rFonts w:hint="eastAsia" w:ascii="宋体" w:eastAsia="宋体"/>
                <w:sz w:val="21"/>
              </w:rPr>
              <w:t>3.</w:t>
            </w:r>
            <w:r>
              <w:rPr>
                <w:sz w:val="21"/>
              </w:rPr>
              <w:t>条件适宜的区域可将严格管控类耕地纳入国家新一轮退耕还林还草实施范围，制定重度</w:t>
            </w:r>
          </w:p>
          <w:p>
            <w:pPr>
              <w:pStyle w:val="12"/>
              <w:spacing w:before="2" w:line="252" w:lineRule="exact"/>
              <w:ind w:left="108"/>
              <w:rPr>
                <w:sz w:val="21"/>
              </w:rPr>
            </w:pPr>
            <w:r>
              <w:rPr>
                <w:sz w:val="21"/>
              </w:rPr>
              <w:t>污染耕地种植结构调整或退耕还林还草计划。</w:t>
            </w:r>
          </w:p>
        </w:tc>
        <w:tc>
          <w:tcPr>
            <w:tcW w:w="6047" w:type="dxa"/>
          </w:tcPr>
          <w:p>
            <w:pPr>
              <w:pStyle w:val="12"/>
              <w:spacing w:before="1"/>
              <w:ind w:left="528"/>
              <w:rPr>
                <w:sz w:val="21"/>
              </w:rPr>
            </w:pPr>
            <w:r>
              <w:rPr>
                <w:sz w:val="21"/>
              </w:rPr>
              <w:t>《省人民政府关于印发</w:t>
            </w:r>
            <w:r>
              <w:rPr>
                <w:rFonts w:hint="eastAsia" w:ascii="宋体" w:eastAsia="宋体"/>
                <w:sz w:val="21"/>
              </w:rPr>
              <w:t>&lt;</w:t>
            </w:r>
            <w:r>
              <w:rPr>
                <w:sz w:val="21"/>
              </w:rPr>
              <w:t>贵州省土壤污染防治工作方案</w:t>
            </w:r>
            <w:r>
              <w:rPr>
                <w:rFonts w:hint="eastAsia" w:ascii="宋体" w:eastAsia="宋体"/>
                <w:sz w:val="21"/>
              </w:rPr>
              <w:t>&gt;</w:t>
            </w:r>
            <w:r>
              <w:rPr>
                <w:sz w:val="21"/>
              </w:rPr>
              <w:t>的</w:t>
            </w:r>
          </w:p>
          <w:p>
            <w:pPr>
              <w:pStyle w:val="12"/>
              <w:spacing w:before="2" w:line="252" w:lineRule="exact"/>
              <w:ind w:left="108"/>
              <w:rPr>
                <w:sz w:val="21"/>
              </w:rPr>
            </w:pPr>
            <w:r>
              <w:rPr>
                <w:spacing w:val="-1"/>
                <w:sz w:val="21"/>
              </w:rPr>
              <w:t>通知》</w:t>
            </w:r>
            <w:r>
              <w:rPr>
                <w:sz w:val="21"/>
              </w:rPr>
              <w:t>（</w:t>
            </w:r>
            <w:r>
              <w:rPr>
                <w:spacing w:val="-2"/>
                <w:sz w:val="21"/>
              </w:rPr>
              <w:t>黔府发</w:t>
            </w: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ind w:left="528"/>
              <w:rPr>
                <w:sz w:val="21"/>
              </w:rPr>
            </w:pPr>
            <w:r>
              <w:rPr>
                <w:rFonts w:hint="eastAsia" w:ascii="宋体" w:eastAsia="宋体"/>
                <w:sz w:val="21"/>
              </w:rPr>
              <w:t>4.</w:t>
            </w:r>
            <w:r>
              <w:rPr>
                <w:sz w:val="21"/>
              </w:rPr>
              <w:t>定期开展土壤和农产品协同监测与评价，实施跟踪监测，根据监测和评估结果及时优化</w:t>
            </w:r>
          </w:p>
          <w:p>
            <w:pPr>
              <w:pStyle w:val="12"/>
              <w:spacing w:before="5" w:line="250" w:lineRule="exact"/>
              <w:ind w:left="108"/>
              <w:rPr>
                <w:sz w:val="21"/>
              </w:rPr>
            </w:pPr>
            <w:r>
              <w:rPr>
                <w:sz w:val="21"/>
              </w:rPr>
              <w:t>调整农艺调控措施。</w:t>
            </w:r>
          </w:p>
        </w:tc>
        <w:tc>
          <w:tcPr>
            <w:tcW w:w="6047" w:type="dxa"/>
            <w:vMerge w:val="restart"/>
          </w:tcPr>
          <w:p>
            <w:pPr>
              <w:pStyle w:val="12"/>
              <w:spacing w:before="142"/>
              <w:ind w:left="528"/>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line="252" w:lineRule="exact"/>
              <w:ind w:left="528"/>
              <w:rPr>
                <w:sz w:val="21"/>
              </w:rPr>
            </w:pPr>
            <w:r>
              <w:rPr>
                <w:rFonts w:hint="eastAsia" w:ascii="宋体" w:eastAsia="宋体"/>
                <w:sz w:val="21"/>
              </w:rPr>
              <w:t>5.</w:t>
            </w:r>
            <w:r>
              <w:rPr>
                <w:sz w:val="21"/>
              </w:rPr>
              <w:t>对农民、农民专业合作社及其他农业生产经营主体进行技能培训和指导。</w:t>
            </w:r>
          </w:p>
        </w:tc>
        <w:tc>
          <w:tcPr>
            <w:tcW w:w="60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line="250" w:lineRule="exact"/>
              <w:ind w:left="528"/>
              <w:rPr>
                <w:sz w:val="21"/>
              </w:rPr>
            </w:pPr>
            <w:r>
              <w:rPr>
                <w:rFonts w:hint="eastAsia" w:ascii="宋体" w:eastAsia="宋体"/>
                <w:sz w:val="21"/>
              </w:rPr>
              <w:t>6.</w:t>
            </w:r>
            <w:r>
              <w:rPr>
                <w:sz w:val="21"/>
              </w:rPr>
              <w:t>其他风险防控措施。</w:t>
            </w:r>
          </w:p>
        </w:tc>
        <w:tc>
          <w:tcPr>
            <w:tcW w:w="6047"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265"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2"/>
              <w:rPr>
                <w:b/>
                <w:sz w:val="28"/>
              </w:rPr>
            </w:pPr>
          </w:p>
          <w:p>
            <w:pPr>
              <w:pStyle w:val="12"/>
              <w:ind w:left="107"/>
              <w:rPr>
                <w:sz w:val="21"/>
              </w:rPr>
            </w:pPr>
            <w:r>
              <w:rPr>
                <w:sz w:val="21"/>
              </w:rPr>
              <w:t>重点管控</w:t>
            </w:r>
          </w:p>
        </w:tc>
        <w:tc>
          <w:tcPr>
            <w:tcW w:w="1557" w:type="dxa"/>
            <w:vMerge w:val="restart"/>
          </w:tcPr>
          <w:p>
            <w:pPr>
              <w:pStyle w:val="12"/>
              <w:rPr>
                <w:b/>
                <w:sz w:val="20"/>
              </w:rPr>
            </w:pPr>
          </w:p>
          <w:p>
            <w:pPr>
              <w:pStyle w:val="12"/>
              <w:rPr>
                <w:b/>
                <w:sz w:val="20"/>
              </w:rPr>
            </w:pPr>
          </w:p>
          <w:p>
            <w:pPr>
              <w:pStyle w:val="12"/>
              <w:rPr>
                <w:b/>
                <w:sz w:val="20"/>
              </w:rPr>
            </w:pPr>
          </w:p>
          <w:p>
            <w:pPr>
              <w:pStyle w:val="12"/>
              <w:spacing w:before="4"/>
              <w:rPr>
                <w:b/>
                <w:sz w:val="15"/>
              </w:rPr>
            </w:pPr>
          </w:p>
          <w:p>
            <w:pPr>
              <w:pStyle w:val="12"/>
              <w:spacing w:before="1" w:line="242" w:lineRule="auto"/>
              <w:ind w:left="108" w:right="121"/>
              <w:jc w:val="both"/>
              <w:rPr>
                <w:sz w:val="21"/>
              </w:rPr>
            </w:pPr>
            <w:r>
              <w:rPr>
                <w:spacing w:val="-2"/>
                <w:sz w:val="21"/>
              </w:rPr>
              <w:t>建设用地污染</w:t>
            </w:r>
            <w:r>
              <w:rPr>
                <w:spacing w:val="-3"/>
                <w:sz w:val="21"/>
              </w:rPr>
              <w:t>风险重点管控</w:t>
            </w:r>
            <w:r>
              <w:rPr>
                <w:spacing w:val="-27"/>
                <w:sz w:val="21"/>
              </w:rPr>
              <w:t xml:space="preserve">区 </w:t>
            </w:r>
            <w:r>
              <w:rPr>
                <w:rFonts w:hint="eastAsia" w:ascii="宋体" w:eastAsia="宋体"/>
                <w:sz w:val="21"/>
              </w:rPr>
              <w:t>1-</w:t>
            </w:r>
            <w:r>
              <w:rPr>
                <w:spacing w:val="-6"/>
                <w:sz w:val="21"/>
              </w:rPr>
              <w:t>重点风险</w:t>
            </w:r>
            <w:r>
              <w:rPr>
                <w:sz w:val="21"/>
              </w:rPr>
              <w:t>源区域</w:t>
            </w:r>
          </w:p>
        </w:tc>
        <w:tc>
          <w:tcPr>
            <w:tcW w:w="2837" w:type="dxa"/>
            <w:gridSpan w:val="2"/>
            <w:vMerge w:val="restart"/>
          </w:tcPr>
          <w:p>
            <w:pPr>
              <w:pStyle w:val="12"/>
              <w:rPr>
                <w:b/>
                <w:sz w:val="20"/>
              </w:rPr>
            </w:pPr>
          </w:p>
          <w:p>
            <w:pPr>
              <w:pStyle w:val="12"/>
              <w:rPr>
                <w:b/>
                <w:sz w:val="20"/>
              </w:rPr>
            </w:pPr>
          </w:p>
          <w:p>
            <w:pPr>
              <w:pStyle w:val="12"/>
              <w:rPr>
                <w:b/>
                <w:sz w:val="20"/>
              </w:rPr>
            </w:pPr>
          </w:p>
          <w:p>
            <w:pPr>
              <w:pStyle w:val="12"/>
              <w:rPr>
                <w:b/>
                <w:sz w:val="20"/>
              </w:rPr>
            </w:pPr>
          </w:p>
          <w:p>
            <w:pPr>
              <w:pStyle w:val="12"/>
              <w:spacing w:before="2"/>
              <w:rPr>
                <w:b/>
                <w:sz w:val="27"/>
              </w:rPr>
            </w:pPr>
          </w:p>
          <w:p>
            <w:pPr>
              <w:pStyle w:val="12"/>
              <w:spacing w:before="1"/>
              <w:ind w:left="528"/>
              <w:rPr>
                <w:sz w:val="21"/>
              </w:rPr>
            </w:pPr>
            <w:r>
              <w:rPr>
                <w:sz w:val="21"/>
              </w:rPr>
              <w:t>环境风险防控</w:t>
            </w:r>
          </w:p>
        </w:tc>
        <w:tc>
          <w:tcPr>
            <w:tcW w:w="8866" w:type="dxa"/>
          </w:tcPr>
          <w:p>
            <w:pPr>
              <w:pStyle w:val="12"/>
              <w:spacing w:before="1" w:line="242" w:lineRule="auto"/>
              <w:ind w:left="108" w:right="-29" w:firstLine="420"/>
              <w:rPr>
                <w:sz w:val="21"/>
              </w:rPr>
            </w:pPr>
            <w:r>
              <w:rPr>
                <w:rFonts w:hint="eastAsia" w:ascii="宋体" w:eastAsia="宋体"/>
                <w:sz w:val="21"/>
              </w:rPr>
              <w:t>1.</w:t>
            </w:r>
            <w:r>
              <w:rPr>
                <w:spacing w:val="-3"/>
                <w:sz w:val="21"/>
              </w:rPr>
              <w:t>土壤污染重点监管单位应该严格控制有毒有害物质排放，并按年度向生态环境主管部门 报告排放</w:t>
            </w:r>
            <w:r>
              <w:rPr>
                <w:rFonts w:hint="eastAsia"/>
                <w:spacing w:val="-3"/>
                <w:sz w:val="21"/>
                <w:lang w:eastAsia="zh-CN"/>
              </w:rPr>
              <w:t>情况</w:t>
            </w:r>
            <w:r>
              <w:rPr>
                <w:spacing w:val="-3"/>
                <w:sz w:val="21"/>
              </w:rPr>
              <w:t xml:space="preserve">；建立土壤污染隐患排查制度，保证持续有效防止有毒有害物质渗漏、流失、扬 散；制定、实施自行监测方案，并将监测数据报生态环境主管部门。并对监测数据的真实性和 </w:t>
            </w:r>
            <w:r>
              <w:rPr>
                <w:spacing w:val="-9"/>
                <w:sz w:val="21"/>
              </w:rPr>
              <w:t>准确性负责。生态环境主管部门发现土壤污染重点监管单位监测数据异常，应当及时进行调查。</w:t>
            </w:r>
            <w:r>
              <w:rPr>
                <w:spacing w:val="-5"/>
                <w:sz w:val="21"/>
              </w:rPr>
              <w:t>设区的市级以上地方人民政府生态环境主管部门应当定期对土壤污染重点监管单位周边土壤进</w:t>
            </w:r>
          </w:p>
          <w:p>
            <w:pPr>
              <w:pStyle w:val="12"/>
              <w:spacing w:before="4" w:line="250" w:lineRule="exact"/>
              <w:ind w:left="108"/>
              <w:rPr>
                <w:sz w:val="21"/>
              </w:rPr>
            </w:pPr>
            <w:r>
              <w:rPr>
                <w:sz w:val="21"/>
              </w:rPr>
              <w:t>行监测。</w:t>
            </w:r>
          </w:p>
        </w:tc>
        <w:tc>
          <w:tcPr>
            <w:tcW w:w="6047"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spacing w:before="2"/>
              <w:rPr>
                <w:b/>
                <w:sz w:val="27"/>
              </w:rPr>
            </w:pPr>
          </w:p>
          <w:p>
            <w:pPr>
              <w:pStyle w:val="12"/>
              <w:spacing w:before="1"/>
              <w:ind w:left="528"/>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1"/>
              <w:ind w:left="528"/>
              <w:rPr>
                <w:sz w:val="21"/>
              </w:rPr>
            </w:pPr>
            <w:r>
              <w:rPr>
                <w:rFonts w:hint="eastAsia" w:ascii="宋体" w:eastAsia="宋体"/>
                <w:sz w:val="21"/>
              </w:rPr>
              <w:t>2.</w:t>
            </w:r>
            <w:r>
              <w:rPr>
                <w:sz w:val="21"/>
              </w:rPr>
              <w:t>土壤污染重点监管单位拆除设施，设备或者建筑物，构筑物的，应当制定包括应急措施</w:t>
            </w:r>
          </w:p>
          <w:p>
            <w:pPr>
              <w:pStyle w:val="12"/>
              <w:spacing w:before="4" w:line="250" w:lineRule="exact"/>
              <w:ind w:left="108" w:right="-15"/>
              <w:rPr>
                <w:sz w:val="21"/>
              </w:rPr>
            </w:pPr>
            <w:r>
              <w:rPr>
                <w:spacing w:val="-8"/>
                <w:sz w:val="21"/>
              </w:rPr>
              <w:t>在内的土壤污染防治工作方案，报地方人民政府生态环境，工业和信息化主管部门备案并实施。</w:t>
            </w:r>
          </w:p>
        </w:tc>
        <w:tc>
          <w:tcPr>
            <w:tcW w:w="60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gridSpan w:val="2"/>
            <w:vMerge w:val="continue"/>
            <w:tcBorders>
              <w:top w:val="nil"/>
            </w:tcBorders>
          </w:tcPr>
          <w:p>
            <w:pPr>
              <w:rPr>
                <w:sz w:val="2"/>
                <w:szCs w:val="2"/>
              </w:rPr>
            </w:pPr>
          </w:p>
        </w:tc>
        <w:tc>
          <w:tcPr>
            <w:tcW w:w="8866" w:type="dxa"/>
          </w:tcPr>
          <w:p>
            <w:pPr>
              <w:pStyle w:val="12"/>
              <w:spacing w:before="3" w:line="242" w:lineRule="auto"/>
              <w:ind w:left="108" w:right="127" w:firstLine="420"/>
              <w:rPr>
                <w:sz w:val="21"/>
              </w:rPr>
            </w:pPr>
            <w:r>
              <w:rPr>
                <w:rFonts w:hint="eastAsia" w:ascii="宋体" w:eastAsia="宋体"/>
                <w:sz w:val="21"/>
              </w:rPr>
              <w:t>3.</w:t>
            </w:r>
            <w:r>
              <w:rPr>
                <w:sz w:val="21"/>
              </w:rPr>
              <w:t>土壤污染重点监管单位生产经营用地的用途变更或者在其土地使用权收回，转让前，应当由土地使用权人按照规定进行土壤污染状況调查。土壤污染状况调查报告应当作为不动产登</w:t>
            </w:r>
          </w:p>
          <w:p>
            <w:pPr>
              <w:pStyle w:val="12"/>
              <w:spacing w:before="2" w:line="250" w:lineRule="exact"/>
              <w:ind w:left="108"/>
              <w:rPr>
                <w:sz w:val="21"/>
              </w:rPr>
            </w:pPr>
            <w:r>
              <w:rPr>
                <w:sz w:val="21"/>
              </w:rPr>
              <w:t>记资料送交地方人民政府不动产登记机构，并报地方人民政府生态环境主管部门备案。</w:t>
            </w:r>
          </w:p>
        </w:tc>
        <w:tc>
          <w:tcPr>
            <w:tcW w:w="604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tcPr>
          <w:p>
            <w:pPr>
              <w:pStyle w:val="12"/>
              <w:spacing w:before="1"/>
              <w:ind w:left="108"/>
              <w:rPr>
                <w:sz w:val="21"/>
              </w:rPr>
            </w:pPr>
            <w:r>
              <w:rPr>
                <w:spacing w:val="-2"/>
                <w:sz w:val="21"/>
              </w:rPr>
              <w:t>建设用地污染</w:t>
            </w:r>
          </w:p>
          <w:p>
            <w:pPr>
              <w:pStyle w:val="12"/>
              <w:spacing w:before="4" w:line="250" w:lineRule="exact"/>
              <w:ind w:left="108"/>
              <w:rPr>
                <w:sz w:val="21"/>
              </w:rPr>
            </w:pPr>
            <w:r>
              <w:rPr>
                <w:spacing w:val="-2"/>
                <w:sz w:val="21"/>
              </w:rPr>
              <w:t>风险重点管控</w:t>
            </w:r>
          </w:p>
        </w:tc>
        <w:tc>
          <w:tcPr>
            <w:tcW w:w="2837" w:type="dxa"/>
            <w:gridSpan w:val="2"/>
          </w:tcPr>
          <w:p>
            <w:pPr>
              <w:pStyle w:val="12"/>
              <w:spacing w:before="138"/>
              <w:ind w:left="528"/>
              <w:rPr>
                <w:sz w:val="21"/>
              </w:rPr>
            </w:pPr>
            <w:r>
              <w:rPr>
                <w:sz w:val="21"/>
              </w:rPr>
              <w:t>环境风险防控</w:t>
            </w:r>
          </w:p>
        </w:tc>
        <w:tc>
          <w:tcPr>
            <w:tcW w:w="8866" w:type="dxa"/>
          </w:tcPr>
          <w:p>
            <w:pPr>
              <w:pStyle w:val="12"/>
              <w:spacing w:before="1"/>
              <w:ind w:right="127"/>
              <w:jc w:val="right"/>
              <w:rPr>
                <w:sz w:val="21"/>
              </w:rPr>
            </w:pPr>
            <w:r>
              <w:rPr>
                <w:rFonts w:hint="eastAsia" w:ascii="宋体" w:eastAsia="宋体"/>
                <w:sz w:val="21"/>
              </w:rPr>
              <w:t>1.</w:t>
            </w:r>
            <w:r>
              <w:rPr>
                <w:spacing w:val="-3"/>
                <w:sz w:val="21"/>
              </w:rPr>
              <w:t>污染地块未经治理与修复，或者经治理与修复但未达到相关规划用地土壤</w:t>
            </w:r>
            <w:r>
              <w:rPr>
                <w:rFonts w:hint="eastAsia"/>
                <w:spacing w:val="-3"/>
                <w:sz w:val="21"/>
              </w:rPr>
              <w:t>环境</w:t>
            </w:r>
            <w:r>
              <w:rPr>
                <w:spacing w:val="-3"/>
                <w:sz w:val="21"/>
              </w:rPr>
              <w:t>质量要求</w:t>
            </w:r>
          </w:p>
          <w:p>
            <w:pPr>
              <w:pStyle w:val="12"/>
              <w:spacing w:before="4" w:line="250" w:lineRule="exact"/>
              <w:ind w:right="127"/>
              <w:jc w:val="right"/>
              <w:rPr>
                <w:sz w:val="21"/>
              </w:rPr>
            </w:pPr>
            <w:r>
              <w:rPr>
                <w:spacing w:val="-3"/>
                <w:sz w:val="21"/>
              </w:rPr>
              <w:t>的，有关生态环境主管部门不予批准选址涉及该污染地块的建设项目环境影响报告书或者报告</w:t>
            </w:r>
          </w:p>
        </w:tc>
        <w:tc>
          <w:tcPr>
            <w:tcW w:w="6047" w:type="dxa"/>
            <w:tcBorders>
              <w:bottom w:val="nil"/>
            </w:tcBorders>
          </w:tcPr>
          <w:p>
            <w:pPr>
              <w:pStyle w:val="12"/>
              <w:spacing w:before="1"/>
              <w:ind w:left="528"/>
              <w:rPr>
                <w:sz w:val="21"/>
              </w:rPr>
            </w:pPr>
            <w:r>
              <w:rPr>
                <w:sz w:val="21"/>
              </w:rPr>
              <w:t>《污染地块土壤环境管理办法（试行）》（环境保护部令第</w:t>
            </w:r>
          </w:p>
          <w:p>
            <w:pPr>
              <w:pStyle w:val="12"/>
              <w:spacing w:before="4" w:line="250" w:lineRule="exact"/>
              <w:ind w:left="108"/>
              <w:rPr>
                <w:sz w:val="21"/>
              </w:rPr>
            </w:pPr>
            <w:r>
              <w:rPr>
                <w:rFonts w:hint="eastAsia" w:ascii="宋体" w:eastAsia="宋体"/>
                <w:sz w:val="21"/>
              </w:rPr>
              <w:t>42</w:t>
            </w:r>
            <w:r>
              <w:rPr>
                <w:rFonts w:hint="eastAsia" w:ascii="宋体" w:eastAsia="宋体"/>
                <w:spacing w:val="-53"/>
                <w:sz w:val="21"/>
              </w:rPr>
              <w:t xml:space="preserve"> </w:t>
            </w:r>
            <w:r>
              <w:rPr>
                <w:spacing w:val="-3"/>
                <w:sz w:val="21"/>
              </w:rPr>
              <w:t>号）</w:t>
            </w:r>
          </w:p>
        </w:tc>
      </w:tr>
    </w:tbl>
    <w:p>
      <w:pPr>
        <w:spacing w:line="250" w:lineRule="exact"/>
        <w:rPr>
          <w:sz w:val="21"/>
        </w:rPr>
        <w:sectPr>
          <w:type w:val="continuous"/>
          <w:pgSz w:w="23760" w:h="16790" w:orient="landscape"/>
          <w:pgMar w:top="1600" w:right="660" w:bottom="1160" w:left="860" w:header="720" w:footer="720" w:gutter="0"/>
          <w:cols w:space="720" w:num="1"/>
        </w:sectPr>
      </w:pPr>
    </w:p>
    <w:tbl>
      <w:tblPr>
        <w:tblStyle w:val="3"/>
        <w:tblW w:w="20568"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1557"/>
        <w:gridCol w:w="2837"/>
        <w:gridCol w:w="2356"/>
        <w:gridCol w:w="6508"/>
        <w:gridCol w:w="6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1265" w:type="dxa"/>
          </w:tcPr>
          <w:p>
            <w:pPr>
              <w:pStyle w:val="12"/>
              <w:spacing w:before="3" w:line="250" w:lineRule="exact"/>
              <w:ind w:left="630"/>
              <w:rPr>
                <w:b/>
                <w:sz w:val="21"/>
              </w:rPr>
            </w:pPr>
            <w:r>
              <w:rPr>
                <w:b/>
                <w:sz w:val="21"/>
              </w:rPr>
              <w:t>分类</w:t>
            </w:r>
          </w:p>
        </w:tc>
        <w:tc>
          <w:tcPr>
            <w:tcW w:w="1557" w:type="dxa"/>
          </w:tcPr>
          <w:p>
            <w:pPr>
              <w:pStyle w:val="12"/>
              <w:spacing w:before="3" w:line="250" w:lineRule="exact"/>
              <w:ind w:left="780"/>
              <w:rPr>
                <w:b/>
                <w:sz w:val="21"/>
              </w:rPr>
            </w:pPr>
            <w:r>
              <w:rPr>
                <w:b/>
                <w:sz w:val="21"/>
              </w:rPr>
              <w:t>属性</w:t>
            </w:r>
          </w:p>
        </w:tc>
        <w:tc>
          <w:tcPr>
            <w:tcW w:w="2837" w:type="dxa"/>
          </w:tcPr>
          <w:p>
            <w:pPr>
              <w:pStyle w:val="12"/>
              <w:spacing w:before="3" w:line="250" w:lineRule="exact"/>
              <w:ind w:left="1396" w:right="968"/>
              <w:jc w:val="center"/>
              <w:rPr>
                <w:b/>
                <w:sz w:val="21"/>
              </w:rPr>
            </w:pPr>
            <w:r>
              <w:rPr>
                <w:b/>
                <w:sz w:val="21"/>
              </w:rPr>
              <w:t>管控</w:t>
            </w:r>
          </w:p>
        </w:tc>
        <w:tc>
          <w:tcPr>
            <w:tcW w:w="8864" w:type="dxa"/>
            <w:gridSpan w:val="2"/>
          </w:tcPr>
          <w:p>
            <w:pPr>
              <w:pStyle w:val="12"/>
              <w:spacing w:before="3" w:line="250" w:lineRule="exact"/>
              <w:ind w:left="4097" w:right="3661"/>
              <w:jc w:val="center"/>
              <w:rPr>
                <w:b/>
                <w:sz w:val="21"/>
              </w:rPr>
            </w:pPr>
            <w:r>
              <w:rPr>
                <w:b/>
                <w:sz w:val="21"/>
              </w:rPr>
              <w:t>管控和要求</w:t>
            </w:r>
          </w:p>
        </w:tc>
        <w:tc>
          <w:tcPr>
            <w:tcW w:w="6045" w:type="dxa"/>
          </w:tcPr>
          <w:p>
            <w:pPr>
              <w:pStyle w:val="12"/>
              <w:spacing w:before="3" w:line="250" w:lineRule="exact"/>
              <w:ind w:right="2160"/>
              <w:jc w:val="right"/>
              <w:rPr>
                <w:b/>
                <w:sz w:val="21"/>
              </w:rPr>
            </w:pPr>
            <w:r>
              <w:rPr>
                <w:b/>
                <w:sz w:val="21"/>
              </w:rPr>
              <w:t>管控要求来源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restart"/>
          </w:tcPr>
          <w:p>
            <w:pPr>
              <w:pStyle w:val="12"/>
              <w:rPr>
                <w:rFonts w:ascii="Times New Roman"/>
                <w:sz w:val="20"/>
              </w:rPr>
            </w:pPr>
          </w:p>
        </w:tc>
        <w:tc>
          <w:tcPr>
            <w:tcW w:w="1557" w:type="dxa"/>
            <w:vMerge w:val="restart"/>
          </w:tcPr>
          <w:p>
            <w:pPr>
              <w:pStyle w:val="12"/>
              <w:spacing w:before="1"/>
              <w:ind w:left="108"/>
              <w:rPr>
                <w:sz w:val="21"/>
              </w:rPr>
            </w:pPr>
            <w:r>
              <w:rPr>
                <w:sz w:val="21"/>
              </w:rPr>
              <w:t xml:space="preserve">区 </w:t>
            </w:r>
            <w:r>
              <w:rPr>
                <w:rFonts w:hint="eastAsia" w:ascii="宋体" w:eastAsia="宋体"/>
                <w:sz w:val="21"/>
              </w:rPr>
              <w:t>2-</w:t>
            </w:r>
            <w:r>
              <w:rPr>
                <w:sz w:val="21"/>
              </w:rPr>
              <w:t>污染地块</w:t>
            </w:r>
          </w:p>
        </w:tc>
        <w:tc>
          <w:tcPr>
            <w:tcW w:w="2837" w:type="dxa"/>
            <w:vMerge w:val="restart"/>
          </w:tcPr>
          <w:p>
            <w:pPr>
              <w:pStyle w:val="12"/>
              <w:rPr>
                <w:rFonts w:ascii="Times New Roman"/>
                <w:sz w:val="20"/>
              </w:rPr>
            </w:pPr>
          </w:p>
        </w:tc>
        <w:tc>
          <w:tcPr>
            <w:tcW w:w="8864" w:type="dxa"/>
            <w:gridSpan w:val="2"/>
          </w:tcPr>
          <w:p>
            <w:pPr>
              <w:pStyle w:val="12"/>
              <w:spacing w:before="1" w:line="253" w:lineRule="exact"/>
              <w:ind w:left="108"/>
              <w:rPr>
                <w:sz w:val="21"/>
              </w:rPr>
            </w:pPr>
            <w:r>
              <w:rPr>
                <w:sz w:val="21"/>
              </w:rPr>
              <w:t>表。</w:t>
            </w:r>
          </w:p>
        </w:tc>
        <w:tc>
          <w:tcPr>
            <w:tcW w:w="6045" w:type="dxa"/>
            <w:vMerge w:val="restart"/>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1" w:line="242" w:lineRule="auto"/>
              <w:ind w:left="108" w:right="125" w:firstLine="420"/>
              <w:jc w:val="both"/>
              <w:rPr>
                <w:sz w:val="21"/>
              </w:rPr>
            </w:pPr>
            <w:r>
              <w:rPr>
                <w:rFonts w:hint="eastAsia" w:ascii="宋体" w:eastAsia="宋体"/>
                <w:sz w:val="21"/>
              </w:rPr>
              <w:t>2.</w:t>
            </w:r>
            <w:r>
              <w:rPr>
                <w:sz w:val="21"/>
              </w:rPr>
              <w:t>对拟收回的有色金属冶炼、化工、焦化、电镀、电子废物拆解等行业企业用地，以及拟变更为居住和商业、学校、医疗、养老机构等公共设施的上述企业用地，应开展土壤环境调查评估；确定为污染地块的，在开发利用前要开展治理修复，使其满足土地开发利用的土壤质量</w:t>
            </w:r>
          </w:p>
          <w:p>
            <w:pPr>
              <w:pStyle w:val="12"/>
              <w:spacing w:line="252" w:lineRule="exact"/>
              <w:ind w:left="108"/>
              <w:rPr>
                <w:sz w:val="21"/>
              </w:rPr>
            </w:pPr>
            <w:r>
              <w:rPr>
                <w:sz w:val="21"/>
              </w:rPr>
              <w:t>要求。</w:t>
            </w:r>
          </w:p>
        </w:tc>
        <w:tc>
          <w:tcPr>
            <w:tcW w:w="60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1"/>
              <w:ind w:left="528"/>
              <w:rPr>
                <w:sz w:val="21"/>
              </w:rPr>
            </w:pPr>
            <w:r>
              <w:rPr>
                <w:rFonts w:hint="eastAsia" w:ascii="宋体" w:eastAsia="宋体"/>
                <w:sz w:val="21"/>
              </w:rPr>
              <w:t>3.</w:t>
            </w:r>
            <w:r>
              <w:rPr>
                <w:sz w:val="21"/>
              </w:rPr>
              <w:t>各级自然资源、规划等部门在编制土地利用总体规划、城市总体规划、控制性详细规划</w:t>
            </w:r>
          </w:p>
          <w:p>
            <w:pPr>
              <w:pStyle w:val="12"/>
              <w:spacing w:before="2" w:line="252" w:lineRule="exact"/>
              <w:ind w:left="108"/>
              <w:rPr>
                <w:sz w:val="21"/>
              </w:rPr>
            </w:pPr>
            <w:r>
              <w:rPr>
                <w:sz w:val="21"/>
              </w:rPr>
              <w:t>等相关规划时，应充分考虑污染地块的环境风险，合理确定土地用途。</w:t>
            </w:r>
          </w:p>
        </w:tc>
        <w:tc>
          <w:tcPr>
            <w:tcW w:w="6045" w:type="dxa"/>
          </w:tcPr>
          <w:p>
            <w:pPr>
              <w:pStyle w:val="12"/>
              <w:spacing w:before="1"/>
              <w:ind w:left="531"/>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2" w:line="252" w:lineRule="exact"/>
              <w:ind w:left="111"/>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1"/>
              <w:ind w:left="108" w:firstLine="420"/>
              <w:rPr>
                <w:sz w:val="21"/>
              </w:rPr>
            </w:pPr>
            <w:r>
              <w:rPr>
                <w:rFonts w:hint="eastAsia" w:ascii="宋体" w:eastAsia="宋体"/>
                <w:sz w:val="21"/>
              </w:rPr>
              <w:t>4.</w:t>
            </w:r>
            <w:r>
              <w:rPr>
                <w:sz w:val="21"/>
              </w:rPr>
              <w:t>根据建设用地壤环境调查评估结果，逐步建立污染地块名录和联动监管机制，将建设用</w:t>
            </w:r>
          </w:p>
          <w:p>
            <w:pPr>
              <w:pStyle w:val="12"/>
              <w:spacing w:before="3" w:line="270" w:lineRule="atLeast"/>
              <w:ind w:left="108" w:right="125"/>
              <w:rPr>
                <w:sz w:val="21"/>
              </w:rPr>
            </w:pPr>
            <w:r>
              <w:rPr>
                <w:sz w:val="21"/>
              </w:rPr>
              <w:t>地土壤环境管理要求纳入用地规划和供地管理，严格控制用地准入，强化暂不开发污染地块的风险管控。</w:t>
            </w:r>
          </w:p>
        </w:tc>
        <w:tc>
          <w:tcPr>
            <w:tcW w:w="6045" w:type="dxa"/>
            <w:vMerge w:val="restart"/>
          </w:tcPr>
          <w:p>
            <w:pPr>
              <w:pStyle w:val="12"/>
              <w:spacing w:before="10"/>
              <w:rPr>
                <w:b/>
                <w:sz w:val="21"/>
              </w:rPr>
            </w:pPr>
          </w:p>
          <w:p>
            <w:pPr>
              <w:pStyle w:val="12"/>
              <w:ind w:left="531"/>
              <w:rPr>
                <w:sz w:val="21"/>
              </w:rPr>
            </w:pPr>
            <w:r>
              <w:rPr>
                <w:sz w:val="21"/>
              </w:rPr>
              <w:t>《污染地块土壤环境管理办法（试行）》（环境保护部令第</w:t>
            </w:r>
          </w:p>
          <w:p>
            <w:pPr>
              <w:pStyle w:val="12"/>
              <w:spacing w:before="2"/>
              <w:ind w:left="111"/>
              <w:rPr>
                <w:sz w:val="21"/>
              </w:rPr>
            </w:pPr>
            <w:r>
              <w:rPr>
                <w:rFonts w:hint="eastAsia" w:ascii="宋体" w:eastAsia="宋体"/>
                <w:sz w:val="21"/>
              </w:rPr>
              <w:t>42</w:t>
            </w:r>
            <w:r>
              <w:rPr>
                <w:rFonts w:hint="eastAsia" w:ascii="宋体" w:eastAsia="宋体"/>
                <w:spacing w:val="-53"/>
                <w:sz w:val="21"/>
              </w:rPr>
              <w:t xml:space="preserve"> </w:t>
            </w:r>
            <w:r>
              <w:rPr>
                <w:spacing w:val="-3"/>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restart"/>
          </w:tcPr>
          <w:p>
            <w:pPr>
              <w:pStyle w:val="12"/>
              <w:rPr>
                <w:b/>
                <w:sz w:val="20"/>
              </w:rPr>
            </w:pPr>
          </w:p>
          <w:p>
            <w:pPr>
              <w:pStyle w:val="12"/>
              <w:spacing w:before="9"/>
              <w:rPr>
                <w:b/>
                <w:sz w:val="23"/>
              </w:rPr>
            </w:pPr>
          </w:p>
          <w:p>
            <w:pPr>
              <w:pStyle w:val="12"/>
              <w:spacing w:before="1" w:line="242" w:lineRule="auto"/>
              <w:ind w:left="108" w:right="121"/>
              <w:jc w:val="both"/>
              <w:rPr>
                <w:sz w:val="21"/>
              </w:rPr>
            </w:pPr>
            <w:r>
              <w:rPr>
                <w:spacing w:val="-2"/>
                <w:sz w:val="21"/>
              </w:rPr>
              <w:t>建设用地污染</w:t>
            </w:r>
            <w:r>
              <w:rPr>
                <w:spacing w:val="-3"/>
                <w:sz w:val="21"/>
              </w:rPr>
              <w:t>风险重点管控</w:t>
            </w:r>
            <w:r>
              <w:rPr>
                <w:spacing w:val="-27"/>
                <w:sz w:val="21"/>
              </w:rPr>
              <w:t xml:space="preserve">区 </w:t>
            </w:r>
            <w:r>
              <w:rPr>
                <w:rFonts w:hint="eastAsia" w:ascii="宋体" w:eastAsia="宋体"/>
                <w:sz w:val="21"/>
              </w:rPr>
              <w:t>3-</w:t>
            </w:r>
            <w:r>
              <w:rPr>
                <w:spacing w:val="-6"/>
                <w:sz w:val="21"/>
              </w:rPr>
              <w:t>疑似污染</w:t>
            </w:r>
            <w:r>
              <w:rPr>
                <w:sz w:val="21"/>
              </w:rPr>
              <w:t>地块</w:t>
            </w:r>
          </w:p>
        </w:tc>
        <w:tc>
          <w:tcPr>
            <w:tcW w:w="2837" w:type="dxa"/>
            <w:vMerge w:val="restart"/>
          </w:tcPr>
          <w:p>
            <w:pPr>
              <w:pStyle w:val="12"/>
              <w:rPr>
                <w:b/>
                <w:sz w:val="20"/>
              </w:rPr>
            </w:pPr>
          </w:p>
          <w:p>
            <w:pPr>
              <w:pStyle w:val="12"/>
              <w:rPr>
                <w:b/>
                <w:sz w:val="20"/>
              </w:rPr>
            </w:pPr>
          </w:p>
          <w:p>
            <w:pPr>
              <w:pStyle w:val="12"/>
              <w:rPr>
                <w:b/>
                <w:sz w:val="20"/>
              </w:rPr>
            </w:pPr>
          </w:p>
          <w:p>
            <w:pPr>
              <w:pStyle w:val="12"/>
              <w:spacing w:before="7"/>
              <w:rPr>
                <w:b/>
                <w:sz w:val="15"/>
              </w:rPr>
            </w:pPr>
          </w:p>
          <w:p>
            <w:pPr>
              <w:pStyle w:val="12"/>
              <w:spacing w:before="1"/>
              <w:ind w:left="528"/>
              <w:rPr>
                <w:sz w:val="21"/>
              </w:rPr>
            </w:pPr>
            <w:r>
              <w:rPr>
                <w:sz w:val="21"/>
              </w:rPr>
              <w:t>环境风险防控</w:t>
            </w:r>
          </w:p>
        </w:tc>
        <w:tc>
          <w:tcPr>
            <w:tcW w:w="8864" w:type="dxa"/>
            <w:gridSpan w:val="2"/>
          </w:tcPr>
          <w:p>
            <w:pPr>
              <w:pStyle w:val="12"/>
              <w:spacing w:before="1"/>
              <w:ind w:left="528"/>
              <w:rPr>
                <w:sz w:val="21"/>
              </w:rPr>
            </w:pPr>
            <w:r>
              <w:rPr>
                <w:rFonts w:hint="eastAsia" w:ascii="宋体" w:eastAsia="宋体"/>
                <w:sz w:val="21"/>
              </w:rPr>
              <w:t>1.</w:t>
            </w:r>
            <w:r>
              <w:rPr>
                <w:sz w:val="21"/>
              </w:rPr>
              <w:t>结合推进新型城镇化、产业结构调整和化解过剩产能等，有序搬迁或依法关闭对土壤造</w:t>
            </w:r>
          </w:p>
          <w:p>
            <w:pPr>
              <w:pStyle w:val="12"/>
              <w:spacing w:before="2" w:line="252" w:lineRule="exact"/>
              <w:ind w:left="108"/>
              <w:rPr>
                <w:sz w:val="21"/>
              </w:rPr>
            </w:pPr>
            <w:r>
              <w:rPr>
                <w:sz w:val="21"/>
              </w:rPr>
              <w:t>成严重污染的现有企业。</w:t>
            </w:r>
          </w:p>
        </w:tc>
        <w:tc>
          <w:tcPr>
            <w:tcW w:w="60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1" w:line="250" w:lineRule="exact"/>
              <w:ind w:left="528"/>
              <w:rPr>
                <w:sz w:val="21"/>
              </w:rPr>
            </w:pPr>
            <w:r>
              <w:rPr>
                <w:rFonts w:hint="eastAsia" w:ascii="宋体" w:eastAsia="宋体"/>
                <w:sz w:val="21"/>
              </w:rPr>
              <w:t>2.</w:t>
            </w:r>
            <w:r>
              <w:rPr>
                <w:sz w:val="21"/>
              </w:rPr>
              <w:t>严格土壤污染重点行业企业搬迁改造过程中拆除活动的环境监管。</w:t>
            </w:r>
          </w:p>
        </w:tc>
        <w:tc>
          <w:tcPr>
            <w:tcW w:w="6045" w:type="dxa"/>
          </w:tcPr>
          <w:p>
            <w:pPr>
              <w:pStyle w:val="12"/>
              <w:spacing w:before="1" w:line="250" w:lineRule="exact"/>
              <w:ind w:right="2136"/>
              <w:jc w:val="right"/>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1"/>
              <w:ind w:left="528"/>
              <w:rPr>
                <w:sz w:val="21"/>
              </w:rPr>
            </w:pPr>
            <w:r>
              <w:rPr>
                <w:rFonts w:hint="eastAsia" w:ascii="宋体" w:eastAsia="宋体"/>
                <w:sz w:val="21"/>
              </w:rPr>
              <w:t>3.</w:t>
            </w:r>
            <w:r>
              <w:rPr>
                <w:sz w:val="21"/>
              </w:rPr>
              <w:t>对暂不开发利用的关闭、搬迁工业企业原址场地，或现阶段不具备治理修复条件的污染</w:t>
            </w:r>
          </w:p>
          <w:p>
            <w:pPr>
              <w:pStyle w:val="12"/>
              <w:spacing w:before="4" w:line="250" w:lineRule="exact"/>
              <w:ind w:left="108" w:right="-15"/>
              <w:rPr>
                <w:sz w:val="21"/>
              </w:rPr>
            </w:pPr>
            <w:r>
              <w:rPr>
                <w:spacing w:val="-8"/>
                <w:sz w:val="21"/>
              </w:rPr>
              <w:t>地块，土地使用权人应当设置限制进入标识，采取隔离，定期开展监测等措施，防止污染扩散。</w:t>
            </w:r>
          </w:p>
        </w:tc>
        <w:tc>
          <w:tcPr>
            <w:tcW w:w="6045" w:type="dxa"/>
          </w:tcPr>
          <w:p>
            <w:pPr>
              <w:pStyle w:val="12"/>
              <w:spacing w:before="1"/>
              <w:ind w:left="531"/>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4" w:line="250" w:lineRule="exact"/>
              <w:ind w:left="111"/>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3" w:line="242" w:lineRule="auto"/>
              <w:ind w:left="108" w:right="125" w:firstLine="420"/>
              <w:rPr>
                <w:sz w:val="21"/>
              </w:rPr>
            </w:pPr>
            <w:r>
              <w:rPr>
                <w:rFonts w:hint="eastAsia" w:ascii="宋体" w:eastAsia="宋体"/>
                <w:sz w:val="21"/>
              </w:rPr>
              <w:t>4.</w:t>
            </w:r>
            <w:r>
              <w:rPr>
                <w:sz w:val="21"/>
              </w:rPr>
              <w:t>土地使用权人在转产或者搬迁前，应当清除遗留的有毒，有害原料或者排放的有毒，有害物质。禁止将未经环境风险评估的潜在污染场地土壤或者经环境风险评估认定的污染土壤擅</w:t>
            </w:r>
          </w:p>
          <w:p>
            <w:pPr>
              <w:pStyle w:val="12"/>
              <w:spacing w:before="1" w:line="250" w:lineRule="exact"/>
              <w:ind w:left="108"/>
              <w:rPr>
                <w:sz w:val="21"/>
              </w:rPr>
            </w:pPr>
            <w:r>
              <w:rPr>
                <w:sz w:val="21"/>
              </w:rPr>
              <w:t>自转移倾倒。</w:t>
            </w:r>
          </w:p>
        </w:tc>
        <w:tc>
          <w:tcPr>
            <w:tcW w:w="6045" w:type="dxa"/>
          </w:tcPr>
          <w:p>
            <w:pPr>
              <w:pStyle w:val="12"/>
              <w:spacing w:before="5"/>
              <w:rPr>
                <w:b/>
                <w:sz w:val="21"/>
              </w:rPr>
            </w:pPr>
          </w:p>
          <w:p>
            <w:pPr>
              <w:pStyle w:val="12"/>
              <w:ind w:right="2136"/>
              <w:jc w:val="right"/>
              <w:rPr>
                <w:sz w:val="21"/>
              </w:rPr>
            </w:pPr>
            <w:r>
              <w:rPr>
                <w:sz w:val="21"/>
              </w:rPr>
              <w:t>《中华人民共和国土壤污染防治法》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265" w:type="dxa"/>
            <w:vMerge w:val="continue"/>
            <w:tcBorders>
              <w:top w:val="nil"/>
            </w:tcBorders>
          </w:tcPr>
          <w:p>
            <w:pPr>
              <w:rPr>
                <w:sz w:val="2"/>
                <w:szCs w:val="2"/>
              </w:rPr>
            </w:pPr>
          </w:p>
        </w:tc>
        <w:tc>
          <w:tcPr>
            <w:tcW w:w="1557" w:type="dxa"/>
            <w:vMerge w:val="restart"/>
          </w:tcPr>
          <w:p>
            <w:pPr>
              <w:pStyle w:val="12"/>
              <w:rPr>
                <w:rFonts w:ascii="Times New Roman"/>
                <w:sz w:val="20"/>
              </w:rPr>
            </w:pPr>
          </w:p>
        </w:tc>
        <w:tc>
          <w:tcPr>
            <w:tcW w:w="2837" w:type="dxa"/>
            <w:vMerge w:val="restart"/>
          </w:tcPr>
          <w:p>
            <w:pPr>
              <w:pStyle w:val="12"/>
              <w:rPr>
                <w:rFonts w:ascii="Times New Roman"/>
                <w:sz w:val="20"/>
              </w:rPr>
            </w:pPr>
          </w:p>
        </w:tc>
        <w:tc>
          <w:tcPr>
            <w:tcW w:w="2356" w:type="dxa"/>
            <w:vMerge w:val="restart"/>
          </w:tcPr>
          <w:p>
            <w:pPr>
              <w:pStyle w:val="12"/>
              <w:rPr>
                <w:b/>
                <w:sz w:val="20"/>
              </w:rPr>
            </w:pPr>
          </w:p>
          <w:p>
            <w:pPr>
              <w:pStyle w:val="12"/>
              <w:spacing w:before="12"/>
              <w:rPr>
                <w:b/>
              </w:rPr>
            </w:pPr>
          </w:p>
          <w:p>
            <w:pPr>
              <w:pStyle w:val="12"/>
              <w:spacing w:line="244" w:lineRule="auto"/>
              <w:ind w:left="108" w:right="132"/>
              <w:rPr>
                <w:sz w:val="21"/>
              </w:rPr>
            </w:pPr>
            <w:r>
              <w:rPr>
                <w:sz w:val="21"/>
              </w:rPr>
              <w:t>限制开发建设活动的要求</w:t>
            </w:r>
          </w:p>
        </w:tc>
        <w:tc>
          <w:tcPr>
            <w:tcW w:w="6508" w:type="dxa"/>
          </w:tcPr>
          <w:p>
            <w:pPr>
              <w:pStyle w:val="12"/>
              <w:spacing w:before="1" w:line="242" w:lineRule="auto"/>
              <w:ind w:left="109" w:right="89" w:firstLine="420"/>
              <w:jc w:val="both"/>
              <w:rPr>
                <w:sz w:val="21"/>
              </w:rPr>
            </w:pPr>
            <w:r>
              <w:rPr>
                <w:rFonts w:hint="eastAsia" w:ascii="宋体" w:eastAsia="宋体"/>
                <w:sz w:val="21"/>
              </w:rPr>
              <w:t>1.</w:t>
            </w:r>
            <w:r>
              <w:rPr>
                <w:sz w:val="21"/>
              </w:rPr>
              <w:t>严格落实重金属总量指标等量替换制度，对于无重金属污染物排放总量指标来源的新（改、扩）建涉重金属重点行业项目，一律不批其环境影响评价文件。鼓励各市（州）探索重金属排放置换、交易</w:t>
            </w:r>
          </w:p>
          <w:p>
            <w:pPr>
              <w:pStyle w:val="12"/>
              <w:spacing w:before="2" w:line="270" w:lineRule="atLeast"/>
              <w:ind w:left="109" w:right="50"/>
              <w:rPr>
                <w:sz w:val="21"/>
              </w:rPr>
            </w:pPr>
            <w:r>
              <w:rPr>
                <w:sz w:val="21"/>
              </w:rPr>
              <w:t>试点，实施</w:t>
            </w:r>
            <w:r>
              <w:rPr>
                <w:rFonts w:hint="eastAsia" w:ascii="宋体" w:hAnsi="宋体" w:eastAsia="宋体"/>
                <w:sz w:val="21"/>
              </w:rPr>
              <w:t>“</w:t>
            </w:r>
            <w:r>
              <w:rPr>
                <w:sz w:val="21"/>
              </w:rPr>
              <w:t>以大代小</w:t>
            </w:r>
            <w:r>
              <w:rPr>
                <w:rFonts w:hint="eastAsia" w:ascii="宋体" w:hAnsi="宋体" w:eastAsia="宋体"/>
                <w:sz w:val="21"/>
              </w:rPr>
              <w:t>”</w:t>
            </w:r>
            <w:r>
              <w:rPr>
                <w:sz w:val="21"/>
              </w:rPr>
              <w:t>、</w:t>
            </w:r>
            <w:r>
              <w:rPr>
                <w:rFonts w:hint="eastAsia" w:ascii="宋体" w:hAnsi="宋体" w:eastAsia="宋体"/>
                <w:sz w:val="21"/>
              </w:rPr>
              <w:t>“</w:t>
            </w:r>
            <w:r>
              <w:rPr>
                <w:sz w:val="21"/>
              </w:rPr>
              <w:t>以老带新</w:t>
            </w:r>
            <w:r>
              <w:rPr>
                <w:rFonts w:hint="eastAsia" w:ascii="宋体" w:hAnsi="宋体" w:eastAsia="宋体"/>
                <w:sz w:val="21"/>
              </w:rPr>
              <w:t>”</w:t>
            </w:r>
            <w:r>
              <w:rPr>
                <w:sz w:val="21"/>
              </w:rPr>
              <w:t>，实现重点防控重金属污染物新增排放量零增长。</w:t>
            </w:r>
          </w:p>
        </w:tc>
        <w:tc>
          <w:tcPr>
            <w:tcW w:w="6045" w:type="dxa"/>
          </w:tcPr>
          <w:p>
            <w:pPr>
              <w:pStyle w:val="12"/>
              <w:rPr>
                <w:b/>
                <w:sz w:val="20"/>
              </w:rPr>
            </w:pPr>
          </w:p>
          <w:p>
            <w:pPr>
              <w:pStyle w:val="12"/>
              <w:spacing w:before="152" w:line="244" w:lineRule="auto"/>
              <w:ind w:left="111" w:right="141" w:firstLine="420"/>
              <w:rPr>
                <w:sz w:val="21"/>
              </w:rPr>
            </w:pPr>
            <w:r>
              <w:rPr>
                <w:sz w:val="21"/>
              </w:rPr>
              <w:t>《贵州省环境保护厅关于印发</w:t>
            </w:r>
            <w:r>
              <w:rPr>
                <w:rFonts w:hint="eastAsia" w:ascii="宋体" w:hAnsi="宋体" w:eastAsia="宋体"/>
                <w:sz w:val="21"/>
              </w:rPr>
              <w:t>&lt;</w:t>
            </w:r>
            <w:r>
              <w:rPr>
                <w:sz w:val="21"/>
              </w:rPr>
              <w:t>贵州省“十三五”重点行业重点重金属污染物减排方案</w:t>
            </w:r>
            <w:r>
              <w:rPr>
                <w:rFonts w:hint="eastAsia" w:ascii="宋体" w:hAnsi="宋体" w:eastAsia="宋体"/>
                <w:sz w:val="21"/>
              </w:rPr>
              <w:t>&gt;</w:t>
            </w:r>
            <w:r>
              <w:rPr>
                <w:sz w:val="21"/>
              </w:rPr>
              <w:t>的通知》（黔环通</w:t>
            </w:r>
            <w:r>
              <w:rPr>
                <w:rFonts w:hint="eastAsia" w:ascii="宋体" w:hAnsi="宋体" w:eastAsia="宋体"/>
                <w:sz w:val="21"/>
              </w:rPr>
              <w:t xml:space="preserve">[2018]55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continue"/>
            <w:tcBorders>
              <w:top w:val="nil"/>
            </w:tcBorders>
          </w:tcPr>
          <w:p>
            <w:pPr>
              <w:rPr>
                <w:sz w:val="2"/>
                <w:szCs w:val="2"/>
              </w:rPr>
            </w:pPr>
          </w:p>
        </w:tc>
        <w:tc>
          <w:tcPr>
            <w:tcW w:w="6508" w:type="dxa"/>
          </w:tcPr>
          <w:p>
            <w:pPr>
              <w:pStyle w:val="12"/>
              <w:spacing w:before="1" w:line="250" w:lineRule="exact"/>
              <w:ind w:left="529"/>
              <w:rPr>
                <w:sz w:val="21"/>
              </w:rPr>
            </w:pPr>
            <w:r>
              <w:rPr>
                <w:rFonts w:hint="eastAsia" w:ascii="宋体" w:eastAsia="宋体"/>
                <w:sz w:val="21"/>
              </w:rPr>
              <w:t>2.</w:t>
            </w:r>
            <w:r>
              <w:rPr>
                <w:sz w:val="21"/>
              </w:rPr>
              <w:t>法律、法规限制的其他行为。</w:t>
            </w:r>
          </w:p>
        </w:tc>
        <w:tc>
          <w:tcPr>
            <w:tcW w:w="60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restart"/>
          </w:tcPr>
          <w:p>
            <w:pPr>
              <w:pStyle w:val="12"/>
              <w:rPr>
                <w:b/>
                <w:sz w:val="20"/>
              </w:rPr>
            </w:pPr>
          </w:p>
          <w:p>
            <w:pPr>
              <w:pStyle w:val="12"/>
              <w:rPr>
                <w:b/>
                <w:sz w:val="20"/>
              </w:rPr>
            </w:pPr>
          </w:p>
          <w:p>
            <w:pPr>
              <w:pStyle w:val="12"/>
              <w:spacing w:before="9"/>
              <w:rPr>
                <w:b/>
                <w:sz w:val="24"/>
              </w:rPr>
            </w:pPr>
          </w:p>
          <w:p>
            <w:pPr>
              <w:pStyle w:val="12"/>
              <w:spacing w:line="242" w:lineRule="auto"/>
              <w:ind w:left="108" w:right="132"/>
              <w:rPr>
                <w:sz w:val="21"/>
              </w:rPr>
            </w:pPr>
            <w:r>
              <w:rPr>
                <w:sz w:val="21"/>
              </w:rPr>
              <w:t>不符合空间布局要求活动的退出要求</w:t>
            </w:r>
          </w:p>
        </w:tc>
        <w:tc>
          <w:tcPr>
            <w:tcW w:w="6508" w:type="dxa"/>
          </w:tcPr>
          <w:p>
            <w:pPr>
              <w:pStyle w:val="12"/>
              <w:spacing w:before="1" w:line="242" w:lineRule="auto"/>
              <w:ind w:left="109" w:right="89" w:firstLine="420"/>
              <w:jc w:val="both"/>
              <w:rPr>
                <w:sz w:val="21"/>
              </w:rPr>
            </w:pPr>
            <w:r>
              <w:rPr>
                <w:rFonts w:hint="eastAsia" w:ascii="宋体" w:eastAsia="宋体"/>
                <w:sz w:val="21"/>
              </w:rPr>
              <w:t>1.</w:t>
            </w:r>
            <w:r>
              <w:rPr>
                <w:sz w:val="21"/>
              </w:rPr>
              <w:t>开展铅锌矿专项清理，对已设铅锌矿达不到最低生产规模要求的，采矿许可证到期后相关证照不再同意延续，自行关闭退出；对长期处于停产状态、不具备安全生产条件的铅锌矿，依据矿山所在地县</w:t>
            </w:r>
          </w:p>
          <w:p>
            <w:pPr>
              <w:pStyle w:val="12"/>
              <w:spacing w:before="3" w:line="250" w:lineRule="exact"/>
              <w:ind w:left="109"/>
              <w:rPr>
                <w:sz w:val="21"/>
              </w:rPr>
            </w:pPr>
            <w:r>
              <w:rPr>
                <w:sz w:val="21"/>
              </w:rPr>
              <w:t>级以上人民政府作出的关闭决定，依法吊（注）销矿山相关证照。</w:t>
            </w:r>
          </w:p>
        </w:tc>
        <w:tc>
          <w:tcPr>
            <w:tcW w:w="6045" w:type="dxa"/>
            <w:vMerge w:val="restart"/>
          </w:tcPr>
          <w:p>
            <w:pPr>
              <w:pStyle w:val="12"/>
              <w:rPr>
                <w:b/>
                <w:sz w:val="20"/>
              </w:rPr>
            </w:pPr>
          </w:p>
          <w:p>
            <w:pPr>
              <w:pStyle w:val="12"/>
              <w:rPr>
                <w:b/>
                <w:sz w:val="23"/>
              </w:rPr>
            </w:pPr>
          </w:p>
          <w:p>
            <w:pPr>
              <w:pStyle w:val="12"/>
              <w:spacing w:line="244" w:lineRule="auto"/>
              <w:ind w:left="111" w:right="141" w:firstLine="420"/>
              <w:rPr>
                <w:sz w:val="21"/>
              </w:rPr>
            </w:pPr>
            <w:r>
              <w:rPr>
                <w:sz w:val="21"/>
              </w:rPr>
              <w:t>《贵州省环境保护厅关于印发</w:t>
            </w:r>
            <w:r>
              <w:rPr>
                <w:rFonts w:hint="eastAsia" w:ascii="宋体" w:hAnsi="宋体" w:eastAsia="宋体"/>
                <w:sz w:val="21"/>
              </w:rPr>
              <w:t>&lt;</w:t>
            </w:r>
            <w:r>
              <w:rPr>
                <w:sz w:val="21"/>
              </w:rPr>
              <w:t>贵州省“十三五”重点行业重点重金属污染物减排方案</w:t>
            </w:r>
            <w:r>
              <w:rPr>
                <w:rFonts w:hint="eastAsia" w:ascii="宋体" w:hAnsi="宋体" w:eastAsia="宋体"/>
                <w:sz w:val="21"/>
              </w:rPr>
              <w:t>&gt;</w:t>
            </w:r>
            <w:r>
              <w:rPr>
                <w:sz w:val="21"/>
              </w:rPr>
              <w:t>的通知》（黔环通</w:t>
            </w:r>
            <w:r>
              <w:rPr>
                <w:rFonts w:hint="eastAsia" w:ascii="宋体" w:hAnsi="宋体" w:eastAsia="宋体"/>
                <w:sz w:val="21"/>
              </w:rPr>
              <w:t xml:space="preserve">[2018]55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continue"/>
            <w:tcBorders>
              <w:top w:val="nil"/>
            </w:tcBorders>
          </w:tcPr>
          <w:p>
            <w:pPr>
              <w:rPr>
                <w:sz w:val="2"/>
                <w:szCs w:val="2"/>
              </w:rPr>
            </w:pPr>
          </w:p>
        </w:tc>
        <w:tc>
          <w:tcPr>
            <w:tcW w:w="6508" w:type="dxa"/>
          </w:tcPr>
          <w:p>
            <w:pPr>
              <w:pStyle w:val="12"/>
              <w:spacing w:before="1"/>
              <w:ind w:left="109" w:firstLine="420"/>
              <w:rPr>
                <w:sz w:val="21"/>
              </w:rPr>
            </w:pPr>
            <w:r>
              <w:rPr>
                <w:rFonts w:hint="eastAsia" w:ascii="宋体" w:eastAsia="宋体"/>
                <w:sz w:val="21"/>
              </w:rPr>
              <w:t>2.</w:t>
            </w:r>
            <w:r>
              <w:rPr>
                <w:sz w:val="21"/>
              </w:rPr>
              <w:t>对不满足能耗、环保、质量、安全、技术装备等有关强制性标</w:t>
            </w:r>
          </w:p>
          <w:p>
            <w:pPr>
              <w:pStyle w:val="12"/>
              <w:spacing w:before="3" w:line="270" w:lineRule="atLeast"/>
              <w:ind w:left="109" w:right="89"/>
              <w:rPr>
                <w:sz w:val="21"/>
              </w:rPr>
            </w:pPr>
            <w:r>
              <w:rPr>
                <w:sz w:val="21"/>
              </w:rPr>
              <w:t>砖和要求的涉重金属企业，依法依规责令限期整改、停产整顿、逾期未整改或经整改仍未达到要求的，提请地方政府依法关闭退出。</w:t>
            </w:r>
          </w:p>
        </w:tc>
        <w:tc>
          <w:tcPr>
            <w:tcW w:w="604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continue"/>
            <w:tcBorders>
              <w:top w:val="nil"/>
            </w:tcBorders>
          </w:tcPr>
          <w:p>
            <w:pPr>
              <w:rPr>
                <w:sz w:val="2"/>
                <w:szCs w:val="2"/>
              </w:rPr>
            </w:pPr>
          </w:p>
        </w:tc>
        <w:tc>
          <w:tcPr>
            <w:tcW w:w="6508" w:type="dxa"/>
          </w:tcPr>
          <w:p>
            <w:pPr>
              <w:pStyle w:val="12"/>
              <w:spacing w:before="1" w:line="252" w:lineRule="exact"/>
              <w:ind w:left="529"/>
              <w:rPr>
                <w:sz w:val="21"/>
              </w:rPr>
            </w:pPr>
            <w:r>
              <w:rPr>
                <w:rFonts w:hint="eastAsia" w:ascii="宋体" w:eastAsia="宋体"/>
                <w:sz w:val="21"/>
              </w:rPr>
              <w:t>3.</w:t>
            </w:r>
            <w:r>
              <w:rPr>
                <w:sz w:val="21"/>
              </w:rPr>
              <w:t>法律、法规规定的其他退出要求。</w:t>
            </w:r>
          </w:p>
        </w:tc>
        <w:tc>
          <w:tcPr>
            <w:tcW w:w="60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restart"/>
          </w:tcPr>
          <w:p>
            <w:pPr>
              <w:pStyle w:val="12"/>
              <w:rPr>
                <w:b/>
                <w:sz w:val="20"/>
              </w:rPr>
            </w:pPr>
          </w:p>
          <w:p>
            <w:pPr>
              <w:pStyle w:val="12"/>
              <w:rPr>
                <w:b/>
                <w:sz w:val="20"/>
              </w:rPr>
            </w:pPr>
          </w:p>
          <w:p>
            <w:pPr>
              <w:pStyle w:val="12"/>
              <w:rPr>
                <w:b/>
                <w:sz w:val="20"/>
              </w:rPr>
            </w:pPr>
          </w:p>
          <w:p>
            <w:pPr>
              <w:pStyle w:val="12"/>
              <w:spacing w:before="11"/>
              <w:rPr>
                <w:b/>
                <w:sz w:val="14"/>
              </w:rPr>
            </w:pPr>
          </w:p>
          <w:p>
            <w:pPr>
              <w:pStyle w:val="12"/>
              <w:ind w:left="108"/>
              <w:rPr>
                <w:sz w:val="21"/>
              </w:rPr>
            </w:pPr>
            <w:r>
              <w:rPr>
                <w:sz w:val="21"/>
              </w:rPr>
              <w:t>其他空间布局约束要求</w:t>
            </w:r>
          </w:p>
        </w:tc>
        <w:tc>
          <w:tcPr>
            <w:tcW w:w="6508" w:type="dxa"/>
          </w:tcPr>
          <w:p>
            <w:pPr>
              <w:pStyle w:val="12"/>
              <w:spacing w:before="1" w:line="242" w:lineRule="auto"/>
              <w:ind w:left="109" w:right="-15" w:firstLine="420"/>
              <w:rPr>
                <w:sz w:val="21"/>
              </w:rPr>
            </w:pPr>
            <w:r>
              <w:rPr>
                <w:rFonts w:hint="eastAsia" w:ascii="宋体" w:eastAsia="宋体"/>
                <w:sz w:val="21"/>
              </w:rPr>
              <w:t>1.</w:t>
            </w:r>
            <w:r>
              <w:rPr>
                <w:spacing w:val="-5"/>
                <w:sz w:val="21"/>
              </w:rPr>
              <w:t>对不符合国家产业政策的，一律提请地方政府予以关停；对未</w:t>
            </w:r>
            <w:r>
              <w:rPr>
                <w:spacing w:val="-6"/>
                <w:sz w:val="21"/>
              </w:rPr>
              <w:t>经环保部门审批、存在重大环境安全隐患以及位于饮用水水源一、二</w:t>
            </w:r>
            <w:r>
              <w:rPr>
                <w:spacing w:val="-5"/>
                <w:sz w:val="21"/>
              </w:rPr>
              <w:t>级保护区内的涉重金属企业，一律提请地方政府予以关停；对无污染</w:t>
            </w:r>
            <w:r>
              <w:rPr>
                <w:spacing w:val="-6"/>
                <w:sz w:val="21"/>
              </w:rPr>
              <w:t>治理设施、污染治理设施不正常运行或超标排放以及不能依法达到防</w:t>
            </w:r>
            <w:r>
              <w:rPr>
                <w:spacing w:val="-13"/>
                <w:sz w:val="21"/>
              </w:rPr>
              <w:t>护距离要求的，一律停产限期整改整治；对无治理能力且无治理意愿、</w:t>
            </w:r>
            <w:r>
              <w:rPr>
                <w:spacing w:val="-7"/>
                <w:sz w:val="21"/>
              </w:rPr>
              <w:t>经限期治理整顿后仍不能稳定达标的，或经整改后仍达不到防护距离</w:t>
            </w:r>
          </w:p>
          <w:p>
            <w:pPr>
              <w:pStyle w:val="12"/>
              <w:spacing w:before="4" w:line="250" w:lineRule="exact"/>
              <w:ind w:left="109"/>
              <w:rPr>
                <w:sz w:val="21"/>
              </w:rPr>
            </w:pPr>
            <w:r>
              <w:rPr>
                <w:sz w:val="21"/>
              </w:rPr>
              <w:t>要求的，一律提请地方政府予以关闭。</w:t>
            </w:r>
          </w:p>
        </w:tc>
        <w:tc>
          <w:tcPr>
            <w:tcW w:w="6045" w:type="dxa"/>
          </w:tcPr>
          <w:p>
            <w:pPr>
              <w:pStyle w:val="12"/>
              <w:rPr>
                <w:b/>
                <w:sz w:val="20"/>
              </w:rPr>
            </w:pPr>
          </w:p>
          <w:p>
            <w:pPr>
              <w:pStyle w:val="12"/>
              <w:rPr>
                <w:b/>
                <w:sz w:val="20"/>
              </w:rPr>
            </w:pPr>
          </w:p>
          <w:p>
            <w:pPr>
              <w:pStyle w:val="12"/>
              <w:spacing w:before="167" w:line="244" w:lineRule="auto"/>
              <w:ind w:left="111" w:right="141" w:firstLine="420"/>
              <w:rPr>
                <w:sz w:val="21"/>
              </w:rPr>
            </w:pPr>
            <w:r>
              <w:rPr>
                <w:sz w:val="21"/>
              </w:rPr>
              <w:t>《贵州省环境保护厅关于印发</w:t>
            </w:r>
            <w:r>
              <w:rPr>
                <w:rFonts w:hint="eastAsia" w:ascii="宋体" w:hAnsi="宋体" w:eastAsia="宋体"/>
                <w:sz w:val="21"/>
              </w:rPr>
              <w:t>&lt;</w:t>
            </w:r>
            <w:r>
              <w:rPr>
                <w:sz w:val="21"/>
              </w:rPr>
              <w:t>贵州省“十三五”重点行业重点重金属污染物减排方案</w:t>
            </w:r>
            <w:r>
              <w:rPr>
                <w:rFonts w:hint="eastAsia" w:ascii="宋体" w:hAnsi="宋体" w:eastAsia="宋体"/>
                <w:sz w:val="21"/>
              </w:rPr>
              <w:t>&gt;</w:t>
            </w:r>
            <w:r>
              <w:rPr>
                <w:sz w:val="21"/>
              </w:rPr>
              <w:t>的通知》（黔环通</w:t>
            </w:r>
            <w:r>
              <w:rPr>
                <w:rFonts w:hint="eastAsia" w:ascii="宋体" w:hAnsi="宋体" w:eastAsia="宋体"/>
                <w:sz w:val="21"/>
              </w:rPr>
              <w:t xml:space="preserve">[2018]55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continue"/>
            <w:tcBorders>
              <w:top w:val="nil"/>
            </w:tcBorders>
          </w:tcPr>
          <w:p>
            <w:pPr>
              <w:rPr>
                <w:sz w:val="2"/>
                <w:szCs w:val="2"/>
              </w:rPr>
            </w:pPr>
          </w:p>
        </w:tc>
        <w:tc>
          <w:tcPr>
            <w:tcW w:w="6508" w:type="dxa"/>
          </w:tcPr>
          <w:p>
            <w:pPr>
              <w:pStyle w:val="12"/>
              <w:spacing w:before="1" w:line="252" w:lineRule="exact"/>
              <w:ind w:left="529"/>
              <w:rPr>
                <w:sz w:val="21"/>
              </w:rPr>
            </w:pPr>
            <w:r>
              <w:rPr>
                <w:rFonts w:hint="eastAsia" w:ascii="宋体" w:eastAsia="宋体"/>
                <w:sz w:val="21"/>
              </w:rPr>
              <w:t>2.</w:t>
            </w:r>
            <w:r>
              <w:rPr>
                <w:sz w:val="21"/>
              </w:rPr>
              <w:t>法律、法规限制的其他行为。</w:t>
            </w:r>
          </w:p>
        </w:tc>
        <w:tc>
          <w:tcPr>
            <w:tcW w:w="60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restart"/>
          </w:tcPr>
          <w:p>
            <w:pPr>
              <w:pStyle w:val="12"/>
              <w:rPr>
                <w:b/>
                <w:sz w:val="20"/>
              </w:rPr>
            </w:pPr>
          </w:p>
          <w:p>
            <w:pPr>
              <w:pStyle w:val="12"/>
              <w:spacing w:before="157"/>
              <w:ind w:left="528"/>
              <w:rPr>
                <w:sz w:val="21"/>
              </w:rPr>
            </w:pPr>
            <w:r>
              <w:rPr>
                <w:sz w:val="21"/>
              </w:rPr>
              <w:t>环境风险防控</w:t>
            </w:r>
          </w:p>
        </w:tc>
        <w:tc>
          <w:tcPr>
            <w:tcW w:w="8864" w:type="dxa"/>
            <w:gridSpan w:val="2"/>
          </w:tcPr>
          <w:p>
            <w:pPr>
              <w:pStyle w:val="12"/>
              <w:spacing w:before="1"/>
              <w:ind w:left="108"/>
              <w:rPr>
                <w:sz w:val="21"/>
              </w:rPr>
            </w:pPr>
            <w:r>
              <w:rPr>
                <w:rFonts w:hint="eastAsia" w:ascii="宋体" w:eastAsia="宋体"/>
                <w:sz w:val="21"/>
              </w:rPr>
              <w:t>1.</w:t>
            </w:r>
            <w:r>
              <w:rPr>
                <w:sz w:val="21"/>
              </w:rPr>
              <w:t>严格执行重金属污染物排放标准并落实相关总量控制指标，加大监督检查力度，对整改后仍</w:t>
            </w:r>
          </w:p>
          <w:p>
            <w:pPr>
              <w:pStyle w:val="12"/>
              <w:spacing w:before="2" w:line="252" w:lineRule="exact"/>
              <w:ind w:left="108"/>
              <w:rPr>
                <w:sz w:val="21"/>
              </w:rPr>
            </w:pPr>
            <w:r>
              <w:rPr>
                <w:sz w:val="21"/>
              </w:rPr>
              <w:t>不达标的企业，依法责令其停业、关闭，并向社会公开。</w:t>
            </w:r>
          </w:p>
        </w:tc>
        <w:tc>
          <w:tcPr>
            <w:tcW w:w="6045" w:type="dxa"/>
          </w:tcPr>
          <w:p>
            <w:pPr>
              <w:pStyle w:val="12"/>
              <w:spacing w:before="1"/>
              <w:ind w:left="531"/>
              <w:rPr>
                <w:sz w:val="21"/>
              </w:rPr>
            </w:pPr>
            <w:r>
              <w:rPr>
                <w:sz w:val="21"/>
              </w:rPr>
              <w:t>《贵州省环境保护厅关于印发</w:t>
            </w:r>
            <w:r>
              <w:rPr>
                <w:rFonts w:hint="eastAsia" w:ascii="宋体" w:hAnsi="宋体" w:eastAsia="宋体"/>
                <w:sz w:val="21"/>
              </w:rPr>
              <w:t>&lt;</w:t>
            </w:r>
            <w:r>
              <w:rPr>
                <w:sz w:val="21"/>
              </w:rPr>
              <w:t>贵州省“十三五”重点行业</w:t>
            </w:r>
          </w:p>
          <w:p>
            <w:pPr>
              <w:pStyle w:val="12"/>
              <w:spacing w:before="2" w:line="252" w:lineRule="exact"/>
              <w:ind w:left="111"/>
              <w:rPr>
                <w:sz w:val="21"/>
              </w:rPr>
            </w:pPr>
            <w:r>
              <w:rPr>
                <w:spacing w:val="-3"/>
                <w:sz w:val="21"/>
              </w:rPr>
              <w:t>重点重金属污染物减排方案</w:t>
            </w:r>
            <w:r>
              <w:rPr>
                <w:rFonts w:hint="eastAsia" w:ascii="宋体" w:eastAsia="宋体"/>
                <w:sz w:val="21"/>
              </w:rPr>
              <w:t>&gt;</w:t>
            </w:r>
            <w:r>
              <w:rPr>
                <w:spacing w:val="-3"/>
                <w:sz w:val="21"/>
              </w:rPr>
              <w:t>的通知》（</w:t>
            </w:r>
            <w:r>
              <w:rPr>
                <w:spacing w:val="-2"/>
                <w:sz w:val="21"/>
              </w:rPr>
              <w:t>黔环通</w:t>
            </w:r>
            <w:r>
              <w:rPr>
                <w:rFonts w:hint="eastAsia" w:ascii="宋体" w:eastAsia="宋体"/>
                <w:sz w:val="21"/>
              </w:rPr>
              <w:t>[2018]55</w:t>
            </w:r>
            <w:r>
              <w:rPr>
                <w:rFonts w:hint="eastAsia" w:ascii="宋体" w:eastAsia="宋体"/>
                <w:spacing w:val="-52"/>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8864" w:type="dxa"/>
            <w:gridSpan w:val="2"/>
          </w:tcPr>
          <w:p>
            <w:pPr>
              <w:pStyle w:val="12"/>
              <w:spacing w:before="1"/>
              <w:ind w:left="528"/>
              <w:rPr>
                <w:sz w:val="21"/>
              </w:rPr>
            </w:pPr>
            <w:r>
              <w:rPr>
                <w:rFonts w:hint="eastAsia" w:ascii="宋体" w:eastAsia="宋体"/>
                <w:sz w:val="21"/>
              </w:rPr>
              <w:t>2.</w:t>
            </w:r>
            <w:r>
              <w:rPr>
                <w:sz w:val="21"/>
              </w:rPr>
              <w:t>分别在锰矿、汞矿、锑矿、铅锌矿等矿产资源开发集中的区域，制定并实施重点污染物</w:t>
            </w:r>
          </w:p>
          <w:p>
            <w:pPr>
              <w:pStyle w:val="12"/>
              <w:spacing w:before="2" w:line="252" w:lineRule="exact"/>
              <w:ind w:left="108"/>
              <w:rPr>
                <w:sz w:val="21"/>
              </w:rPr>
            </w:pPr>
            <w:r>
              <w:rPr>
                <w:sz w:val="21"/>
              </w:rPr>
              <w:t>特别排放限值实施方案。</w:t>
            </w:r>
          </w:p>
        </w:tc>
        <w:tc>
          <w:tcPr>
            <w:tcW w:w="6045" w:type="dxa"/>
          </w:tcPr>
          <w:p>
            <w:pPr>
              <w:pStyle w:val="12"/>
              <w:spacing w:before="1"/>
              <w:ind w:left="531"/>
              <w:rPr>
                <w:sz w:val="21"/>
              </w:rPr>
            </w:pPr>
            <w:r>
              <w:rPr>
                <w:sz w:val="21"/>
              </w:rPr>
              <w:t>《省人民政府关于印发</w:t>
            </w:r>
            <w:r>
              <w:rPr>
                <w:rFonts w:hint="eastAsia" w:ascii="宋体" w:eastAsia="宋体"/>
                <w:sz w:val="21"/>
              </w:rPr>
              <w:t>&lt;</w:t>
            </w:r>
            <w:r>
              <w:rPr>
                <w:sz w:val="21"/>
              </w:rPr>
              <w:t>贵州省土壤污染防治工作方案</w:t>
            </w:r>
            <w:r>
              <w:rPr>
                <w:rFonts w:hint="eastAsia" w:ascii="宋体" w:eastAsia="宋体"/>
                <w:sz w:val="21"/>
              </w:rPr>
              <w:t>&gt;</w:t>
            </w:r>
            <w:r>
              <w:rPr>
                <w:sz w:val="21"/>
              </w:rPr>
              <w:t>的</w:t>
            </w:r>
          </w:p>
          <w:p>
            <w:pPr>
              <w:pStyle w:val="12"/>
              <w:spacing w:before="2" w:line="252" w:lineRule="exact"/>
              <w:ind w:left="111"/>
              <w:rPr>
                <w:sz w:val="21"/>
              </w:rPr>
            </w:pPr>
            <w:r>
              <w:rPr>
                <w:spacing w:val="-1"/>
                <w:sz w:val="21"/>
              </w:rPr>
              <w:t>通知》</w:t>
            </w:r>
            <w:r>
              <w:rPr>
                <w:sz w:val="21"/>
              </w:rPr>
              <w:t>（</w:t>
            </w:r>
            <w:r>
              <w:rPr>
                <w:spacing w:val="-2"/>
                <w:sz w:val="21"/>
              </w:rPr>
              <w:t>黔府发</w:t>
            </w: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265" w:type="dxa"/>
            <w:vMerge w:val="restart"/>
          </w:tcPr>
          <w:p>
            <w:pPr>
              <w:pStyle w:val="12"/>
              <w:rPr>
                <w:b/>
                <w:sz w:val="20"/>
              </w:rPr>
            </w:pPr>
          </w:p>
          <w:p>
            <w:pPr>
              <w:pStyle w:val="12"/>
              <w:rPr>
                <w:b/>
                <w:sz w:val="20"/>
              </w:rPr>
            </w:pPr>
          </w:p>
          <w:p>
            <w:pPr>
              <w:pStyle w:val="12"/>
              <w:spacing w:before="4"/>
              <w:rPr>
                <w:b/>
                <w:sz w:val="24"/>
              </w:rPr>
            </w:pPr>
          </w:p>
          <w:p>
            <w:pPr>
              <w:pStyle w:val="12"/>
              <w:ind w:left="107"/>
              <w:rPr>
                <w:sz w:val="21"/>
              </w:rPr>
            </w:pPr>
            <w:r>
              <w:rPr>
                <w:sz w:val="21"/>
              </w:rPr>
              <w:t>一般管控</w:t>
            </w:r>
          </w:p>
        </w:tc>
        <w:tc>
          <w:tcPr>
            <w:tcW w:w="1557" w:type="dxa"/>
            <w:vMerge w:val="restart"/>
          </w:tcPr>
          <w:p>
            <w:pPr>
              <w:pStyle w:val="12"/>
              <w:rPr>
                <w:b/>
                <w:sz w:val="20"/>
              </w:rPr>
            </w:pPr>
          </w:p>
          <w:p>
            <w:pPr>
              <w:pStyle w:val="12"/>
              <w:rPr>
                <w:b/>
                <w:sz w:val="20"/>
              </w:rPr>
            </w:pPr>
          </w:p>
          <w:p>
            <w:pPr>
              <w:pStyle w:val="12"/>
              <w:spacing w:before="175" w:line="242" w:lineRule="auto"/>
              <w:ind w:left="108" w:right="174"/>
              <w:rPr>
                <w:rFonts w:ascii="宋体" w:eastAsia="宋体"/>
                <w:sz w:val="21"/>
              </w:rPr>
            </w:pPr>
            <w:r>
              <w:rPr>
                <w:sz w:val="21"/>
              </w:rPr>
              <w:t xml:space="preserve">土壤一般管控区 </w:t>
            </w:r>
            <w:r>
              <w:rPr>
                <w:rFonts w:hint="eastAsia" w:ascii="宋体" w:eastAsia="宋体"/>
                <w:sz w:val="21"/>
              </w:rPr>
              <w:t>1</w:t>
            </w:r>
          </w:p>
        </w:tc>
        <w:tc>
          <w:tcPr>
            <w:tcW w:w="2837" w:type="dxa"/>
            <w:vMerge w:val="restart"/>
          </w:tcPr>
          <w:p>
            <w:pPr>
              <w:pStyle w:val="12"/>
              <w:rPr>
                <w:b/>
                <w:sz w:val="20"/>
              </w:rPr>
            </w:pPr>
          </w:p>
          <w:p>
            <w:pPr>
              <w:pStyle w:val="12"/>
              <w:rPr>
                <w:b/>
                <w:sz w:val="20"/>
              </w:rPr>
            </w:pPr>
          </w:p>
          <w:p>
            <w:pPr>
              <w:pStyle w:val="12"/>
              <w:spacing w:before="4"/>
              <w:rPr>
                <w:b/>
                <w:sz w:val="24"/>
              </w:rPr>
            </w:pPr>
          </w:p>
          <w:p>
            <w:pPr>
              <w:pStyle w:val="12"/>
              <w:ind w:left="528"/>
              <w:rPr>
                <w:sz w:val="21"/>
              </w:rPr>
            </w:pPr>
            <w:r>
              <w:rPr>
                <w:sz w:val="21"/>
              </w:rPr>
              <w:t>空间布局约束</w:t>
            </w:r>
          </w:p>
        </w:tc>
        <w:tc>
          <w:tcPr>
            <w:tcW w:w="2356" w:type="dxa"/>
            <w:vMerge w:val="restart"/>
          </w:tcPr>
          <w:p>
            <w:pPr>
              <w:pStyle w:val="12"/>
              <w:rPr>
                <w:b/>
                <w:sz w:val="20"/>
              </w:rPr>
            </w:pPr>
          </w:p>
          <w:p>
            <w:pPr>
              <w:pStyle w:val="12"/>
              <w:rPr>
                <w:b/>
                <w:sz w:val="20"/>
              </w:rPr>
            </w:pPr>
          </w:p>
          <w:p>
            <w:pPr>
              <w:pStyle w:val="12"/>
              <w:spacing w:before="4"/>
              <w:rPr>
                <w:b/>
                <w:sz w:val="24"/>
              </w:rPr>
            </w:pPr>
          </w:p>
          <w:p>
            <w:pPr>
              <w:pStyle w:val="12"/>
              <w:ind w:left="108"/>
              <w:rPr>
                <w:sz w:val="21"/>
              </w:rPr>
            </w:pPr>
            <w:r>
              <w:rPr>
                <w:sz w:val="21"/>
              </w:rPr>
              <w:t>其他空间布局约束要求</w:t>
            </w:r>
          </w:p>
        </w:tc>
        <w:tc>
          <w:tcPr>
            <w:tcW w:w="6508" w:type="dxa"/>
          </w:tcPr>
          <w:p>
            <w:pPr>
              <w:pStyle w:val="12"/>
              <w:spacing w:before="1" w:line="242" w:lineRule="auto"/>
              <w:ind w:left="109" w:right="80" w:firstLine="420"/>
              <w:rPr>
                <w:sz w:val="21"/>
              </w:rPr>
            </w:pPr>
            <w:r>
              <w:rPr>
                <w:rFonts w:hint="eastAsia" w:ascii="宋体" w:eastAsia="宋体"/>
                <w:sz w:val="21"/>
              </w:rPr>
              <w:t>1.</w:t>
            </w:r>
            <w:r>
              <w:rPr>
                <w:sz w:val="21"/>
              </w:rPr>
              <w:t>明确管理要求。建立调查评估制度</w:t>
            </w:r>
            <w:r>
              <w:rPr>
                <w:rFonts w:hint="eastAsia" w:ascii="宋体" w:eastAsia="宋体"/>
                <w:sz w:val="21"/>
              </w:rPr>
              <w:t>.</w:t>
            </w:r>
            <w:r>
              <w:rPr>
                <w:sz w:val="21"/>
              </w:rPr>
              <w:t>对拟收回土地使用权的有色金属冶炼、石油加工、化工、焦化、电镀、制革等行业企业用地， 以及用途拟变更为居住和商业、学校、医疗、养老机构等公共设施的</w:t>
            </w:r>
          </w:p>
          <w:p>
            <w:pPr>
              <w:pStyle w:val="12"/>
              <w:spacing w:before="2" w:line="270" w:lineRule="atLeast"/>
              <w:ind w:left="109" w:right="49"/>
              <w:rPr>
                <w:sz w:val="21"/>
              </w:rPr>
            </w:pPr>
            <w:r>
              <w:rPr>
                <w:sz w:val="21"/>
              </w:rPr>
              <w:t>上述企业用地，由土地使用权人负责开展土壤环境状况调查评估；已经收回的，由所在地市，县级人民政府负责开展调查评估。</w:t>
            </w:r>
          </w:p>
        </w:tc>
        <w:tc>
          <w:tcPr>
            <w:tcW w:w="6045" w:type="dxa"/>
          </w:tcPr>
          <w:p>
            <w:pPr>
              <w:pStyle w:val="12"/>
              <w:rPr>
                <w:b/>
                <w:sz w:val="20"/>
              </w:rPr>
            </w:pPr>
          </w:p>
          <w:p>
            <w:pPr>
              <w:pStyle w:val="12"/>
              <w:spacing w:before="152"/>
              <w:ind w:left="531"/>
              <w:rPr>
                <w:sz w:val="21"/>
              </w:rPr>
            </w:pPr>
            <w:r>
              <w:rPr>
                <w:sz w:val="21"/>
              </w:rPr>
              <w:t>《国务院关于印发</w:t>
            </w:r>
            <w:r>
              <w:rPr>
                <w:rFonts w:hint="eastAsia" w:ascii="宋体" w:eastAsia="宋体"/>
                <w:sz w:val="21"/>
              </w:rPr>
              <w:t>&lt;</w:t>
            </w:r>
            <w:r>
              <w:rPr>
                <w:sz w:val="21"/>
              </w:rPr>
              <w:t>土壤污染防治行动计划</w:t>
            </w:r>
            <w:r>
              <w:rPr>
                <w:rFonts w:hint="eastAsia" w:ascii="宋体" w:eastAsia="宋体"/>
                <w:sz w:val="21"/>
              </w:rPr>
              <w:t>&gt;</w:t>
            </w:r>
            <w:r>
              <w:rPr>
                <w:sz w:val="21"/>
              </w:rPr>
              <w:t>的通知》（国发</w:t>
            </w:r>
          </w:p>
          <w:p>
            <w:pPr>
              <w:pStyle w:val="12"/>
              <w:spacing w:before="5"/>
              <w:ind w:left="111"/>
              <w:rPr>
                <w:sz w:val="21"/>
              </w:rPr>
            </w:pPr>
            <w:r>
              <w:rPr>
                <w:rFonts w:hint="eastAsia" w:ascii="宋体" w:eastAsia="宋体"/>
                <w:sz w:val="21"/>
              </w:rPr>
              <w:t>[2016]31</w:t>
            </w:r>
            <w:r>
              <w:rPr>
                <w:rFonts w:hint="eastAsia" w:ascii="宋体" w:eastAsia="宋体"/>
                <w:spacing w:val="-55"/>
                <w:sz w:val="21"/>
              </w:rPr>
              <w:t xml:space="preserve"> </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265" w:type="dxa"/>
            <w:vMerge w:val="continue"/>
            <w:tcBorders>
              <w:top w:val="nil"/>
            </w:tcBorders>
          </w:tcPr>
          <w:p>
            <w:pPr>
              <w:rPr>
                <w:sz w:val="2"/>
                <w:szCs w:val="2"/>
              </w:rPr>
            </w:pPr>
          </w:p>
        </w:tc>
        <w:tc>
          <w:tcPr>
            <w:tcW w:w="1557" w:type="dxa"/>
            <w:vMerge w:val="continue"/>
            <w:tcBorders>
              <w:top w:val="nil"/>
            </w:tcBorders>
          </w:tcPr>
          <w:p>
            <w:pPr>
              <w:rPr>
                <w:sz w:val="2"/>
                <w:szCs w:val="2"/>
              </w:rPr>
            </w:pPr>
          </w:p>
        </w:tc>
        <w:tc>
          <w:tcPr>
            <w:tcW w:w="2837" w:type="dxa"/>
            <w:vMerge w:val="continue"/>
            <w:tcBorders>
              <w:top w:val="nil"/>
            </w:tcBorders>
          </w:tcPr>
          <w:p>
            <w:pPr>
              <w:rPr>
                <w:sz w:val="2"/>
                <w:szCs w:val="2"/>
              </w:rPr>
            </w:pPr>
          </w:p>
        </w:tc>
        <w:tc>
          <w:tcPr>
            <w:tcW w:w="2356" w:type="dxa"/>
            <w:vMerge w:val="continue"/>
            <w:tcBorders>
              <w:top w:val="nil"/>
            </w:tcBorders>
          </w:tcPr>
          <w:p>
            <w:pPr>
              <w:rPr>
                <w:sz w:val="2"/>
                <w:szCs w:val="2"/>
              </w:rPr>
            </w:pPr>
          </w:p>
        </w:tc>
        <w:tc>
          <w:tcPr>
            <w:tcW w:w="6508" w:type="dxa"/>
          </w:tcPr>
          <w:p>
            <w:pPr>
              <w:pStyle w:val="12"/>
              <w:spacing w:before="2" w:line="270" w:lineRule="atLeast"/>
              <w:ind w:left="109" w:right="87" w:firstLine="420"/>
              <w:rPr>
                <w:sz w:val="21"/>
              </w:rPr>
            </w:pPr>
            <w:r>
              <w:rPr>
                <w:rFonts w:hint="eastAsia" w:ascii="宋体" w:eastAsia="宋体"/>
                <w:sz w:val="21"/>
              </w:rPr>
              <w:t>2.</w:t>
            </w:r>
            <w:r>
              <w:rPr>
                <w:sz w:val="21"/>
              </w:rPr>
              <w:t>地方各级城乡规划部门要结合土壤环境质量状况，加强城乡规划论证和审批管理。地方各级自然资源部门要依据土地利用总体规</w:t>
            </w:r>
          </w:p>
        </w:tc>
        <w:tc>
          <w:tcPr>
            <w:tcW w:w="6045" w:type="dxa"/>
          </w:tcPr>
          <w:p>
            <w:pPr>
              <w:pStyle w:val="12"/>
              <w:spacing w:before="2" w:line="270" w:lineRule="atLeast"/>
              <w:ind w:left="111" w:right="247" w:firstLine="420"/>
              <w:rPr>
                <w:sz w:val="21"/>
              </w:rPr>
            </w:pPr>
            <w:r>
              <w:rPr>
                <w:spacing w:val="-3"/>
                <w:sz w:val="21"/>
              </w:rPr>
              <w:t>《省人民政府关于印发</w:t>
            </w:r>
            <w:r>
              <w:rPr>
                <w:rFonts w:hint="eastAsia" w:ascii="宋体" w:eastAsia="宋体"/>
                <w:spacing w:val="-3"/>
                <w:sz w:val="21"/>
              </w:rPr>
              <w:t>&lt;</w:t>
            </w:r>
            <w:r>
              <w:rPr>
                <w:spacing w:val="-3"/>
                <w:sz w:val="21"/>
              </w:rPr>
              <w:t>贵州省土壤污染防治工作方案</w:t>
            </w:r>
            <w:r>
              <w:rPr>
                <w:rFonts w:hint="eastAsia" w:ascii="宋体" w:eastAsia="宋体"/>
                <w:sz w:val="21"/>
              </w:rPr>
              <w:t>&gt;</w:t>
            </w:r>
            <w:r>
              <w:rPr>
                <w:sz w:val="21"/>
              </w:rPr>
              <w:t>的</w:t>
            </w:r>
            <w:r>
              <w:rPr>
                <w:spacing w:val="-1"/>
                <w:sz w:val="21"/>
              </w:rPr>
              <w:t>通知》</w:t>
            </w:r>
            <w:r>
              <w:rPr>
                <w:sz w:val="21"/>
              </w:rPr>
              <w:t>（</w:t>
            </w:r>
            <w:r>
              <w:rPr>
                <w:spacing w:val="-2"/>
                <w:sz w:val="21"/>
              </w:rPr>
              <w:t>黔府发</w:t>
            </w:r>
            <w:r>
              <w:rPr>
                <w:rFonts w:hint="eastAsia" w:ascii="宋体" w:eastAsia="宋体"/>
                <w:sz w:val="21"/>
              </w:rPr>
              <w:t>[2016]31</w:t>
            </w:r>
            <w:r>
              <w:rPr>
                <w:rFonts w:hint="eastAsia" w:ascii="宋体" w:eastAsia="宋体"/>
                <w:spacing w:val="-55"/>
                <w:sz w:val="21"/>
              </w:rPr>
              <w:t xml:space="preserve"> </w:t>
            </w:r>
            <w:r>
              <w:rPr>
                <w:sz w:val="21"/>
              </w:rPr>
              <w:t>号）</w:t>
            </w:r>
          </w:p>
        </w:tc>
      </w:tr>
    </w:tbl>
    <w:p>
      <w:pPr>
        <w:spacing w:line="270" w:lineRule="atLeast"/>
        <w:rPr>
          <w:sz w:val="21"/>
        </w:rPr>
        <w:sectPr>
          <w:pgSz w:w="23760" w:h="16790" w:orient="landscape"/>
          <w:pgMar w:top="1080" w:right="660" w:bottom="1080" w:left="860" w:header="0" w:footer="894" w:gutter="0"/>
          <w:cols w:space="720" w:num="1"/>
        </w:sectPr>
      </w:pPr>
    </w:p>
    <w:tbl>
      <w:tblPr>
        <w:tblStyle w:val="3"/>
        <w:tblW w:w="20568"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1557"/>
        <w:gridCol w:w="2837"/>
        <w:gridCol w:w="2356"/>
        <w:gridCol w:w="6508"/>
        <w:gridCol w:w="6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65" w:type="dxa"/>
          </w:tcPr>
          <w:p>
            <w:pPr>
              <w:pStyle w:val="12"/>
              <w:spacing w:before="3" w:line="250" w:lineRule="exact"/>
              <w:ind w:left="630"/>
              <w:rPr>
                <w:b/>
                <w:sz w:val="21"/>
              </w:rPr>
            </w:pPr>
            <w:r>
              <w:rPr>
                <w:b/>
                <w:sz w:val="21"/>
              </w:rPr>
              <w:t>分类</w:t>
            </w:r>
          </w:p>
        </w:tc>
        <w:tc>
          <w:tcPr>
            <w:tcW w:w="1557" w:type="dxa"/>
          </w:tcPr>
          <w:p>
            <w:pPr>
              <w:pStyle w:val="12"/>
              <w:spacing w:before="3" w:line="250" w:lineRule="exact"/>
              <w:ind w:left="780"/>
              <w:rPr>
                <w:b/>
                <w:sz w:val="21"/>
              </w:rPr>
            </w:pPr>
            <w:r>
              <w:rPr>
                <w:b/>
                <w:sz w:val="21"/>
              </w:rPr>
              <w:t>属性</w:t>
            </w:r>
          </w:p>
        </w:tc>
        <w:tc>
          <w:tcPr>
            <w:tcW w:w="2837" w:type="dxa"/>
          </w:tcPr>
          <w:p>
            <w:pPr>
              <w:pStyle w:val="12"/>
              <w:spacing w:before="3" w:line="250" w:lineRule="exact"/>
              <w:ind w:left="1396" w:right="968"/>
              <w:jc w:val="center"/>
              <w:rPr>
                <w:b/>
                <w:sz w:val="21"/>
              </w:rPr>
            </w:pPr>
            <w:r>
              <w:rPr>
                <w:b/>
                <w:sz w:val="21"/>
              </w:rPr>
              <w:t>管控</w:t>
            </w:r>
          </w:p>
        </w:tc>
        <w:tc>
          <w:tcPr>
            <w:tcW w:w="8864" w:type="dxa"/>
            <w:gridSpan w:val="2"/>
          </w:tcPr>
          <w:p>
            <w:pPr>
              <w:pStyle w:val="12"/>
              <w:spacing w:before="3" w:line="250" w:lineRule="exact"/>
              <w:ind w:left="4097" w:right="3661"/>
              <w:jc w:val="center"/>
              <w:rPr>
                <w:b/>
                <w:sz w:val="21"/>
              </w:rPr>
            </w:pPr>
            <w:r>
              <w:rPr>
                <w:b/>
                <w:sz w:val="21"/>
              </w:rPr>
              <w:t>管控和要求</w:t>
            </w:r>
          </w:p>
        </w:tc>
        <w:tc>
          <w:tcPr>
            <w:tcW w:w="6045" w:type="dxa"/>
          </w:tcPr>
          <w:p>
            <w:pPr>
              <w:pStyle w:val="12"/>
              <w:spacing w:before="3" w:line="250" w:lineRule="exact"/>
              <w:ind w:left="2586" w:right="2144"/>
              <w:jc w:val="center"/>
              <w:rPr>
                <w:b/>
                <w:sz w:val="21"/>
              </w:rPr>
            </w:pPr>
            <w:r>
              <w:rPr>
                <w:b/>
                <w:sz w:val="21"/>
              </w:rPr>
              <w:t>管控要求来源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1265" w:type="dxa"/>
          </w:tcPr>
          <w:p>
            <w:pPr>
              <w:pStyle w:val="12"/>
              <w:rPr>
                <w:rFonts w:ascii="Times New Roman"/>
                <w:sz w:val="20"/>
              </w:rPr>
            </w:pPr>
          </w:p>
        </w:tc>
        <w:tc>
          <w:tcPr>
            <w:tcW w:w="1557" w:type="dxa"/>
          </w:tcPr>
          <w:p>
            <w:pPr>
              <w:pStyle w:val="12"/>
              <w:rPr>
                <w:rFonts w:ascii="Times New Roman"/>
                <w:sz w:val="20"/>
              </w:rPr>
            </w:pPr>
          </w:p>
        </w:tc>
        <w:tc>
          <w:tcPr>
            <w:tcW w:w="2837" w:type="dxa"/>
          </w:tcPr>
          <w:p>
            <w:pPr>
              <w:pStyle w:val="12"/>
              <w:rPr>
                <w:rFonts w:ascii="Times New Roman"/>
                <w:sz w:val="20"/>
              </w:rPr>
            </w:pPr>
          </w:p>
        </w:tc>
        <w:tc>
          <w:tcPr>
            <w:tcW w:w="2356" w:type="dxa"/>
          </w:tcPr>
          <w:p>
            <w:pPr>
              <w:pStyle w:val="12"/>
              <w:rPr>
                <w:rFonts w:ascii="Times New Roman"/>
                <w:sz w:val="20"/>
              </w:rPr>
            </w:pPr>
          </w:p>
        </w:tc>
        <w:tc>
          <w:tcPr>
            <w:tcW w:w="6508" w:type="dxa"/>
          </w:tcPr>
          <w:p>
            <w:pPr>
              <w:pStyle w:val="12"/>
              <w:spacing w:before="1" w:line="242" w:lineRule="auto"/>
              <w:ind w:left="109" w:right="-15"/>
              <w:jc w:val="both"/>
              <w:rPr>
                <w:sz w:val="21"/>
              </w:rPr>
            </w:pPr>
            <w:r>
              <w:rPr>
                <w:spacing w:val="-5"/>
                <w:sz w:val="21"/>
              </w:rPr>
              <w:t>划，城乡规划和地块土壤环境质量状況，加强土地征收、收回、收购</w:t>
            </w:r>
            <w:r>
              <w:rPr>
                <w:spacing w:val="-6"/>
                <w:sz w:val="21"/>
              </w:rPr>
              <w:t>以及转让，改变用途等环节的监管，地方各级生态环境部门要加强对</w:t>
            </w:r>
            <w:r>
              <w:rPr>
                <w:spacing w:val="-5"/>
                <w:sz w:val="21"/>
              </w:rPr>
              <w:t>建设用地土壤环境状况调查，风险评估和污染地块治理与修复活动的</w:t>
            </w:r>
          </w:p>
          <w:p>
            <w:pPr>
              <w:pStyle w:val="12"/>
              <w:spacing w:before="2" w:line="270" w:lineRule="atLeast"/>
              <w:ind w:left="109" w:right="-15"/>
              <w:rPr>
                <w:sz w:val="21"/>
              </w:rPr>
            </w:pPr>
            <w:r>
              <w:rPr>
                <w:spacing w:val="-13"/>
                <w:sz w:val="21"/>
              </w:rPr>
              <w:t xml:space="preserve">监管。建立城乡规划，自然资源，生态环境等部门间的信息沟通机制， </w:t>
            </w:r>
            <w:r>
              <w:rPr>
                <w:spacing w:val="-2"/>
                <w:sz w:val="21"/>
              </w:rPr>
              <w:t>实行联动监管。</w:t>
            </w:r>
          </w:p>
        </w:tc>
        <w:tc>
          <w:tcPr>
            <w:tcW w:w="604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65" w:type="dxa"/>
          </w:tcPr>
          <w:p>
            <w:pPr>
              <w:pStyle w:val="12"/>
              <w:rPr>
                <w:rFonts w:ascii="Times New Roman"/>
                <w:sz w:val="20"/>
              </w:rPr>
            </w:pPr>
          </w:p>
        </w:tc>
        <w:tc>
          <w:tcPr>
            <w:tcW w:w="1557" w:type="dxa"/>
          </w:tcPr>
          <w:p>
            <w:pPr>
              <w:pStyle w:val="12"/>
              <w:spacing w:before="1"/>
              <w:ind w:left="108"/>
              <w:rPr>
                <w:sz w:val="21"/>
              </w:rPr>
            </w:pPr>
            <w:r>
              <w:rPr>
                <w:sz w:val="21"/>
              </w:rPr>
              <w:t>土壤一般管控</w:t>
            </w:r>
          </w:p>
          <w:p>
            <w:pPr>
              <w:pStyle w:val="12"/>
              <w:spacing w:before="2" w:line="252" w:lineRule="exact"/>
              <w:ind w:left="108"/>
              <w:rPr>
                <w:rFonts w:ascii="宋体" w:eastAsia="宋体"/>
                <w:sz w:val="21"/>
              </w:rPr>
            </w:pPr>
            <w:r>
              <w:rPr>
                <w:sz w:val="21"/>
              </w:rPr>
              <w:t xml:space="preserve">区 </w:t>
            </w:r>
            <w:r>
              <w:rPr>
                <w:rFonts w:hint="eastAsia" w:ascii="宋体" w:eastAsia="宋体"/>
                <w:sz w:val="21"/>
              </w:rPr>
              <w:t>2</w:t>
            </w:r>
          </w:p>
        </w:tc>
        <w:tc>
          <w:tcPr>
            <w:tcW w:w="2837" w:type="dxa"/>
          </w:tcPr>
          <w:p>
            <w:pPr>
              <w:pStyle w:val="12"/>
              <w:spacing w:before="138"/>
              <w:ind w:left="528"/>
              <w:rPr>
                <w:sz w:val="21"/>
              </w:rPr>
            </w:pPr>
            <w:r>
              <w:rPr>
                <w:sz w:val="21"/>
              </w:rPr>
              <w:t>风险防控</w:t>
            </w:r>
          </w:p>
        </w:tc>
        <w:tc>
          <w:tcPr>
            <w:tcW w:w="8864" w:type="dxa"/>
            <w:gridSpan w:val="2"/>
          </w:tcPr>
          <w:p>
            <w:pPr>
              <w:pStyle w:val="12"/>
              <w:spacing w:before="1"/>
              <w:ind w:left="108"/>
              <w:rPr>
                <w:sz w:val="21"/>
              </w:rPr>
            </w:pPr>
            <w:r>
              <w:rPr>
                <w:rFonts w:hint="eastAsia" w:ascii="宋体" w:eastAsia="宋体"/>
                <w:sz w:val="21"/>
              </w:rPr>
              <w:t>1.</w:t>
            </w:r>
            <w:r>
              <w:rPr>
                <w:spacing w:val="-6"/>
                <w:sz w:val="21"/>
              </w:rPr>
              <w:t xml:space="preserve">对乌江干流及主要支流沿岸 </w:t>
            </w:r>
            <w:r>
              <w:rPr>
                <w:rFonts w:hint="eastAsia" w:ascii="宋体" w:eastAsia="宋体"/>
                <w:sz w:val="21"/>
              </w:rPr>
              <w:t xml:space="preserve">10 </w:t>
            </w:r>
            <w:r>
              <w:rPr>
                <w:spacing w:val="-6"/>
                <w:sz w:val="21"/>
              </w:rPr>
              <w:t>公里范围内废弃露天矿山</w:t>
            </w:r>
            <w:r>
              <w:rPr>
                <w:sz w:val="21"/>
              </w:rPr>
              <w:t>（</w:t>
            </w:r>
            <w:r>
              <w:rPr>
                <w:spacing w:val="-3"/>
                <w:sz w:val="21"/>
              </w:rPr>
              <w:t>含采矿点</w:t>
            </w:r>
            <w:r>
              <w:rPr>
                <w:spacing w:val="-34"/>
                <w:sz w:val="21"/>
              </w:rPr>
              <w:t>）</w:t>
            </w:r>
            <w:r>
              <w:rPr>
                <w:spacing w:val="-3"/>
                <w:sz w:val="21"/>
              </w:rPr>
              <w:t>生态破坏区域进行综合</w:t>
            </w:r>
          </w:p>
          <w:p>
            <w:pPr>
              <w:pStyle w:val="12"/>
              <w:spacing w:before="2" w:line="252" w:lineRule="exact"/>
              <w:ind w:left="108"/>
              <w:rPr>
                <w:sz w:val="21"/>
              </w:rPr>
            </w:pPr>
            <w:r>
              <w:rPr>
                <w:sz w:val="21"/>
              </w:rPr>
              <w:t>整治，消除地质灾害隐患，防治水土流失，恢复植被。</w:t>
            </w:r>
          </w:p>
        </w:tc>
        <w:tc>
          <w:tcPr>
            <w:tcW w:w="6045" w:type="dxa"/>
          </w:tcPr>
          <w:p>
            <w:pPr>
              <w:pStyle w:val="12"/>
              <w:spacing w:before="1"/>
              <w:ind w:left="531"/>
              <w:rPr>
                <w:sz w:val="21"/>
              </w:rPr>
            </w:pPr>
            <w:r>
              <w:rPr>
                <w:sz w:val="21"/>
              </w:rPr>
              <w:t>自然资源部办公厅关于开展长江经济带废弃露天矿山生态</w:t>
            </w:r>
          </w:p>
          <w:p>
            <w:pPr>
              <w:pStyle w:val="12"/>
              <w:spacing w:before="2" w:line="252" w:lineRule="exact"/>
              <w:ind w:left="111"/>
              <w:rPr>
                <w:sz w:val="21"/>
              </w:rPr>
            </w:pPr>
            <w:r>
              <w:rPr>
                <w:sz w:val="21"/>
              </w:rPr>
              <w:t>修复的通知</w:t>
            </w:r>
          </w:p>
        </w:tc>
      </w:tr>
    </w:tbl>
    <w:p>
      <w:pPr>
        <w:spacing w:line="252" w:lineRule="exact"/>
        <w:rPr>
          <w:sz w:val="21"/>
        </w:rPr>
        <w:sectPr>
          <w:pgSz w:w="23760" w:h="16790" w:orient="landscape"/>
          <w:pgMar w:top="1080" w:right="660" w:bottom="1080" w:left="860" w:header="0" w:footer="894" w:gutter="0"/>
          <w:cols w:space="720" w:num="1"/>
        </w:sectPr>
      </w:pPr>
    </w:p>
    <w:p>
      <w:pPr>
        <w:pStyle w:val="11"/>
        <w:numPr>
          <w:ilvl w:val="1"/>
          <w:numId w:val="2"/>
        </w:numPr>
        <w:tabs>
          <w:tab w:val="left" w:pos="1692"/>
        </w:tabs>
        <w:spacing w:before="26"/>
        <w:ind w:left="1691" w:hanging="553"/>
        <w:rPr>
          <w:rFonts w:ascii="Calibri" w:eastAsia="Calibri"/>
          <w:b/>
          <w:sz w:val="36"/>
        </w:rPr>
      </w:pPr>
      <w:bookmarkStart w:id="5" w:name="_bookmark3"/>
      <w:bookmarkEnd w:id="5"/>
      <w:r>
        <w:rPr>
          <w:b/>
          <w:sz w:val="36"/>
        </w:rPr>
        <w:t>全省资源利用总体管控要求</w:t>
      </w:r>
    </w:p>
    <w:p>
      <w:pPr>
        <w:pStyle w:val="2"/>
        <w:rPr>
          <w:b/>
          <w:sz w:val="20"/>
        </w:rPr>
      </w:pPr>
    </w:p>
    <w:p>
      <w:pPr>
        <w:pStyle w:val="9"/>
        <w:tabs>
          <w:tab w:val="left" w:pos="1123"/>
        </w:tabs>
        <w:spacing w:before="224" w:after="53"/>
        <w:ind w:left="281"/>
      </w:pPr>
      <w:r>
        <w:t>表</w:t>
      </w:r>
      <w:r>
        <w:rPr>
          <w:spacing w:val="-60"/>
        </w:rPr>
        <w:t xml:space="preserve"> </w:t>
      </w:r>
      <w:r>
        <w:rPr>
          <w:rFonts w:ascii="Times New Roman" w:eastAsia="Times New Roman"/>
        </w:rPr>
        <w:t>1.5</w:t>
      </w:r>
      <w:r>
        <w:rPr>
          <w:rFonts w:ascii="Times New Roman" w:eastAsia="Times New Roman"/>
        </w:rPr>
        <w:tab/>
      </w:r>
      <w:r>
        <w:t>贵州省资源利用管控普适性准入清单</w:t>
      </w:r>
    </w:p>
    <w:tbl>
      <w:tblPr>
        <w:tblStyle w:val="3"/>
        <w:tblW w:w="21202"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583"/>
        <w:gridCol w:w="1068"/>
        <w:gridCol w:w="14846"/>
        <w:gridCol w:w="3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54" w:type="dxa"/>
          </w:tcPr>
          <w:p>
            <w:pPr>
              <w:pStyle w:val="12"/>
              <w:spacing w:before="99"/>
              <w:ind w:left="314"/>
              <w:rPr>
                <w:b/>
                <w:sz w:val="21"/>
              </w:rPr>
            </w:pPr>
            <w:r>
              <w:rPr>
                <w:b/>
                <w:sz w:val="21"/>
              </w:rPr>
              <w:t>分类</w:t>
            </w:r>
          </w:p>
        </w:tc>
        <w:tc>
          <w:tcPr>
            <w:tcW w:w="1651" w:type="dxa"/>
            <w:gridSpan w:val="2"/>
          </w:tcPr>
          <w:p>
            <w:pPr>
              <w:pStyle w:val="12"/>
              <w:spacing w:before="99"/>
              <w:ind w:left="594" w:right="589"/>
              <w:jc w:val="center"/>
              <w:rPr>
                <w:b/>
                <w:sz w:val="21"/>
              </w:rPr>
            </w:pPr>
            <w:r>
              <w:rPr>
                <w:b/>
                <w:sz w:val="21"/>
              </w:rPr>
              <w:t>管控</w:t>
            </w:r>
          </w:p>
        </w:tc>
        <w:tc>
          <w:tcPr>
            <w:tcW w:w="14846" w:type="dxa"/>
          </w:tcPr>
          <w:p>
            <w:pPr>
              <w:pStyle w:val="12"/>
              <w:spacing w:before="99"/>
              <w:ind w:left="6876" w:right="6870"/>
              <w:jc w:val="center"/>
              <w:rPr>
                <w:b/>
                <w:sz w:val="21"/>
              </w:rPr>
            </w:pPr>
            <w:r>
              <w:rPr>
                <w:b/>
                <w:sz w:val="21"/>
              </w:rPr>
              <w:t>管控和要求</w:t>
            </w:r>
          </w:p>
        </w:tc>
        <w:tc>
          <w:tcPr>
            <w:tcW w:w="3651" w:type="dxa"/>
          </w:tcPr>
          <w:p>
            <w:pPr>
              <w:pStyle w:val="12"/>
              <w:spacing w:before="99"/>
              <w:ind w:left="71" w:right="65"/>
              <w:jc w:val="center"/>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1054" w:type="dxa"/>
            <w:tcBorders>
              <w:bottom w:val="nil"/>
            </w:tcBorders>
          </w:tcPr>
          <w:p>
            <w:pPr>
              <w:pStyle w:val="12"/>
              <w:rPr>
                <w:rFonts w:ascii="Times New Roman"/>
                <w:sz w:val="20"/>
              </w:rPr>
            </w:pPr>
          </w:p>
        </w:tc>
        <w:tc>
          <w:tcPr>
            <w:tcW w:w="583"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1"/>
              </w:rPr>
            </w:pPr>
          </w:p>
          <w:p>
            <w:pPr>
              <w:pStyle w:val="12"/>
              <w:spacing w:line="230" w:lineRule="auto"/>
              <w:ind w:left="184" w:right="180"/>
              <w:jc w:val="both"/>
              <w:rPr>
                <w:sz w:val="21"/>
              </w:rPr>
            </w:pPr>
            <w:r>
              <w:rPr>
                <w:sz w:val="21"/>
              </w:rPr>
              <w:t>水资源</w:t>
            </w:r>
          </w:p>
        </w:tc>
        <w:tc>
          <w:tcPr>
            <w:tcW w:w="1068" w:type="dxa"/>
            <w:tcBorders>
              <w:bottom w:val="nil"/>
            </w:tcBorders>
          </w:tcPr>
          <w:p>
            <w:pPr>
              <w:pStyle w:val="12"/>
              <w:rPr>
                <w:rFonts w:ascii="Times New Roman"/>
                <w:sz w:val="20"/>
              </w:rPr>
            </w:pPr>
          </w:p>
        </w:tc>
        <w:tc>
          <w:tcPr>
            <w:tcW w:w="14846" w:type="dxa"/>
            <w:tcBorders>
              <w:bottom w:val="single" w:color="000000" w:sz="4" w:space="0"/>
            </w:tcBorders>
          </w:tcPr>
          <w:p>
            <w:pPr>
              <w:pStyle w:val="12"/>
              <w:spacing w:before="11"/>
              <w:rPr>
                <w:b/>
                <w:sz w:val="14"/>
              </w:rPr>
            </w:pPr>
          </w:p>
          <w:p>
            <w:pPr>
              <w:pStyle w:val="12"/>
              <w:ind w:left="108"/>
              <w:rPr>
                <w:sz w:val="21"/>
              </w:rPr>
            </w:pPr>
            <w:r>
              <w:rPr>
                <w:sz w:val="21"/>
              </w:rPr>
              <w:t>一、管控区生态用水管控要求</w:t>
            </w:r>
          </w:p>
          <w:p>
            <w:pPr>
              <w:pStyle w:val="12"/>
              <w:numPr>
                <w:ilvl w:val="0"/>
                <w:numId w:val="29"/>
              </w:numPr>
              <w:tabs>
                <w:tab w:val="left" w:pos="321"/>
              </w:tabs>
              <w:spacing w:before="105" w:line="242" w:lineRule="auto"/>
              <w:ind w:right="95" w:firstLine="0"/>
              <w:rPr>
                <w:sz w:val="21"/>
              </w:rPr>
            </w:pPr>
            <w:r>
              <w:rPr>
                <w:spacing w:val="-9"/>
                <w:sz w:val="21"/>
              </w:rPr>
              <w:t>加强江河湖库水量调度管理。完善水量调度方案。采取闸坝联合调度、生态补水等措施，合理安排闸坝下泄水量和泄流时段，维持河湖基本生态用水需求，重</w:t>
            </w:r>
            <w:r>
              <w:rPr>
                <w:spacing w:val="-5"/>
                <w:sz w:val="21"/>
              </w:rPr>
              <w:t>点保障枯水期生态基流。加大水利工程建设力度，发挥好控制性水利工程在改善水质中的作用。</w:t>
            </w:r>
          </w:p>
          <w:p>
            <w:pPr>
              <w:pStyle w:val="12"/>
              <w:numPr>
                <w:ilvl w:val="0"/>
                <w:numId w:val="29"/>
              </w:numPr>
              <w:tabs>
                <w:tab w:val="left" w:pos="321"/>
              </w:tabs>
              <w:spacing w:before="102"/>
              <w:ind w:left="320"/>
              <w:rPr>
                <w:sz w:val="21"/>
              </w:rPr>
            </w:pPr>
            <w:r>
              <w:rPr>
                <w:spacing w:val="-3"/>
                <w:sz w:val="21"/>
              </w:rPr>
              <w:t>通过水资源调控措施，优化控制性工程调度运行模式，改善河湖枯水年和枯水季节的生态用水状况，保障河道内基本的生态用水要求。</w:t>
            </w:r>
          </w:p>
        </w:tc>
        <w:tc>
          <w:tcPr>
            <w:tcW w:w="3651" w:type="dxa"/>
            <w:tcBorders>
              <w:bottom w:val="single" w:color="000000" w:sz="4" w:space="0"/>
            </w:tcBorders>
          </w:tcPr>
          <w:p>
            <w:pPr>
              <w:pStyle w:val="12"/>
              <w:spacing w:before="8"/>
              <w:rPr>
                <w:b/>
                <w:sz w:val="29"/>
              </w:rPr>
            </w:pPr>
          </w:p>
          <w:p>
            <w:pPr>
              <w:pStyle w:val="12"/>
              <w:numPr>
                <w:ilvl w:val="0"/>
                <w:numId w:val="30"/>
              </w:numPr>
              <w:tabs>
                <w:tab w:val="left" w:pos="320"/>
              </w:tabs>
              <w:spacing w:line="242" w:lineRule="auto"/>
              <w:ind w:right="279" w:firstLine="0"/>
              <w:rPr>
                <w:sz w:val="21"/>
              </w:rPr>
            </w:pPr>
            <w:r>
              <w:rPr>
                <w:spacing w:val="-3"/>
                <w:sz w:val="21"/>
              </w:rPr>
              <w:t>《水污染防治行动计划</w:t>
            </w:r>
            <w:r>
              <w:rPr>
                <w:spacing w:val="-5"/>
                <w:sz w:val="21"/>
              </w:rPr>
              <w:t xml:space="preserve"> </w:t>
            </w:r>
            <w:r>
              <w:rPr>
                <w:spacing w:val="-106"/>
                <w:sz w:val="21"/>
              </w:rPr>
              <w:t>》（</w:t>
            </w:r>
            <w:r>
              <w:rPr>
                <w:spacing w:val="-6"/>
                <w:sz w:val="21"/>
              </w:rPr>
              <w:t>“水十</w:t>
            </w:r>
            <w:r>
              <w:rPr>
                <w:sz w:val="21"/>
              </w:rPr>
              <w:t>条</w:t>
            </w:r>
            <w:r>
              <w:rPr>
                <w:spacing w:val="-106"/>
                <w:sz w:val="21"/>
              </w:rPr>
              <w:t>”）</w:t>
            </w:r>
            <w:r>
              <w:rPr>
                <w:sz w:val="21"/>
              </w:rPr>
              <w:t>；</w:t>
            </w:r>
          </w:p>
          <w:p>
            <w:pPr>
              <w:pStyle w:val="12"/>
              <w:numPr>
                <w:ilvl w:val="0"/>
                <w:numId w:val="30"/>
              </w:numPr>
              <w:tabs>
                <w:tab w:val="left" w:pos="320"/>
              </w:tabs>
              <w:spacing w:before="100"/>
              <w:ind w:left="319"/>
              <w:rPr>
                <w:sz w:val="21"/>
              </w:rPr>
            </w:pPr>
            <w:r>
              <w:rPr>
                <w:spacing w:val="-12"/>
                <w:sz w:val="21"/>
              </w:rPr>
              <w:t>《贵州省水资源综合规划》。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single" w:color="000000" w:sz="4" w:space="0"/>
              <w:bottom w:val="nil"/>
            </w:tcBorders>
          </w:tcPr>
          <w:p>
            <w:pPr>
              <w:pStyle w:val="12"/>
              <w:spacing w:before="102"/>
              <w:ind w:left="108"/>
              <w:rPr>
                <w:sz w:val="21"/>
              </w:rPr>
            </w:pPr>
            <w:r>
              <w:rPr>
                <w:sz w:val="21"/>
              </w:rPr>
              <w:t>二、水环境质量保障</w:t>
            </w:r>
          </w:p>
        </w:tc>
        <w:tc>
          <w:tcPr>
            <w:tcW w:w="3651" w:type="dxa"/>
            <w:tcBorders>
              <w:top w:val="single" w:color="000000" w:sz="4" w:space="0"/>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before="49" w:line="248" w:lineRule="exact"/>
              <w:ind w:left="108"/>
              <w:rPr>
                <w:sz w:val="21"/>
              </w:rPr>
            </w:pPr>
            <w:r>
              <w:rPr>
                <w:sz w:val="21"/>
              </w:rPr>
              <w:t>1.工业节水及循环利用。严格执行国家鼓励和淘汰的用水技术、工艺、产品和设备目录，落实高耗水行业取用水定额标准。开展节水诊断、水平衡测算、用水效</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b/>
                <w:sz w:val="20"/>
              </w:rPr>
            </w:pPr>
          </w:p>
          <w:p>
            <w:pPr>
              <w:pStyle w:val="12"/>
              <w:rPr>
                <w:b/>
                <w:sz w:val="20"/>
              </w:rPr>
            </w:pPr>
          </w:p>
          <w:p>
            <w:pPr>
              <w:pStyle w:val="12"/>
              <w:spacing w:before="161" w:line="230" w:lineRule="auto"/>
              <w:ind w:left="108" w:right="110"/>
              <w:rPr>
                <w:sz w:val="21"/>
              </w:rPr>
            </w:pPr>
            <w:r>
              <w:rPr>
                <w:sz w:val="21"/>
              </w:rPr>
              <w:t>生态用水补给区</w:t>
            </w:r>
          </w:p>
        </w:tc>
        <w:tc>
          <w:tcPr>
            <w:tcW w:w="14846" w:type="dxa"/>
            <w:tcBorders>
              <w:top w:val="nil"/>
              <w:bottom w:val="nil"/>
            </w:tcBorders>
          </w:tcPr>
          <w:p>
            <w:pPr>
              <w:pStyle w:val="12"/>
              <w:spacing w:line="242" w:lineRule="auto"/>
              <w:ind w:left="108" w:right="-15"/>
              <w:rPr>
                <w:sz w:val="21"/>
              </w:rPr>
            </w:pPr>
            <w:r>
              <w:rPr>
                <w:spacing w:val="-6"/>
                <w:sz w:val="21"/>
              </w:rPr>
              <w:t xml:space="preserve">率评估、实施用水定额管理。开展节水型企业示范工程创建工作，到 </w:t>
            </w:r>
            <w:r>
              <w:rPr>
                <w:sz w:val="21"/>
              </w:rPr>
              <w:t>2020</w:t>
            </w:r>
            <w:r>
              <w:rPr>
                <w:spacing w:val="-10"/>
                <w:sz w:val="21"/>
              </w:rPr>
              <w:t xml:space="preserve"> 年，在电力、钢铁、防治、造纸、石油石化、化工、食品发酵、建材等高耗水行业中， </w:t>
            </w:r>
            <w:r>
              <w:rPr>
                <w:spacing w:val="-5"/>
                <w:sz w:val="21"/>
              </w:rPr>
              <w:t>创建一批节水模范企业，发挥示范带动作用。</w:t>
            </w:r>
          </w:p>
          <w:p>
            <w:pPr>
              <w:pStyle w:val="12"/>
              <w:spacing w:before="102" w:line="242" w:lineRule="auto"/>
              <w:ind w:left="108" w:right="178"/>
              <w:rPr>
                <w:sz w:val="21"/>
              </w:rPr>
            </w:pPr>
            <w:r>
              <w:rPr>
                <w:sz w:val="21"/>
              </w:rPr>
              <w:t>2.</w:t>
            </w:r>
            <w:r>
              <w:rPr>
                <w:spacing w:val="-4"/>
                <w:sz w:val="21"/>
              </w:rPr>
              <w:t xml:space="preserve">推进城镇节水。全省推广海绵城市建设。新建城区硬化地面，可渗透面积要达到 </w:t>
            </w:r>
            <w:r>
              <w:rPr>
                <w:sz w:val="21"/>
              </w:rPr>
              <w:t>40</w:t>
            </w:r>
            <w:r>
              <w:rPr>
                <w:spacing w:val="-7"/>
                <w:sz w:val="21"/>
              </w:rPr>
              <w:t xml:space="preserve">%以上。到 </w:t>
            </w:r>
            <w:r>
              <w:rPr>
                <w:sz w:val="21"/>
              </w:rPr>
              <w:t>2020</w:t>
            </w:r>
            <w:r>
              <w:rPr>
                <w:spacing w:val="-7"/>
                <w:sz w:val="21"/>
              </w:rPr>
              <w:t xml:space="preserve"> 年，缺水型区县(市、区)城市建成区达到国家节水型城市</w:t>
            </w:r>
            <w:r>
              <w:rPr>
                <w:spacing w:val="-12"/>
                <w:sz w:val="21"/>
              </w:rPr>
              <w:t xml:space="preserve">标准要求。自 </w:t>
            </w:r>
            <w:r>
              <w:rPr>
                <w:sz w:val="21"/>
              </w:rPr>
              <w:t>2019</w:t>
            </w:r>
            <w:r>
              <w:rPr>
                <w:spacing w:val="-13"/>
                <w:sz w:val="21"/>
              </w:rPr>
              <w:t xml:space="preserve"> 年起，单体建筑面积超过 </w:t>
            </w:r>
            <w:r>
              <w:rPr>
                <w:sz w:val="21"/>
              </w:rPr>
              <w:t>2</w:t>
            </w:r>
            <w:r>
              <w:rPr>
                <w:spacing w:val="-9"/>
                <w:sz w:val="21"/>
              </w:rPr>
              <w:t xml:space="preserve"> 万平方米的新建公共建筑，应安装建筑中水设施。</w:t>
            </w:r>
          </w:p>
        </w:tc>
        <w:tc>
          <w:tcPr>
            <w:tcW w:w="3651" w:type="dxa"/>
            <w:tcBorders>
              <w:top w:val="nil"/>
              <w:bottom w:val="nil"/>
            </w:tcBorders>
          </w:tcPr>
          <w:p>
            <w:pPr>
              <w:pStyle w:val="12"/>
              <w:spacing w:before="8"/>
              <w:rPr>
                <w:b/>
                <w:sz w:val="14"/>
              </w:rPr>
            </w:pPr>
          </w:p>
          <w:p>
            <w:pPr>
              <w:pStyle w:val="12"/>
              <w:spacing w:line="242" w:lineRule="auto"/>
              <w:ind w:left="107" w:right="171"/>
              <w:rPr>
                <w:sz w:val="21"/>
              </w:rPr>
            </w:pPr>
            <w:r>
              <w:rPr>
                <w:sz w:val="21"/>
              </w:rPr>
              <w:t>1.《贵州省水污染防治行动计划工作方案》。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single" w:color="000000" w:sz="4" w:space="0"/>
            </w:tcBorders>
          </w:tcPr>
          <w:p>
            <w:pPr>
              <w:pStyle w:val="12"/>
              <w:spacing w:before="46"/>
              <w:ind w:left="108"/>
              <w:rPr>
                <w:sz w:val="21"/>
              </w:rPr>
            </w:pPr>
            <w:r>
              <w:rPr>
                <w:sz w:val="21"/>
              </w:rPr>
              <w:t>3.农业节水。推广渠道防渗、管道输水、喷灌、微灌等节水灌溉技术，完善灌溉用水计量设施。</w:t>
            </w:r>
          </w:p>
        </w:tc>
        <w:tc>
          <w:tcPr>
            <w:tcW w:w="3651" w:type="dxa"/>
            <w:tcBorders>
              <w:top w:val="nil"/>
              <w:bottom w:val="single" w:color="000000" w:sz="4" w:space="0"/>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single" w:color="000000" w:sz="4" w:space="0"/>
              <w:bottom w:val="nil"/>
            </w:tcBorders>
          </w:tcPr>
          <w:p>
            <w:pPr>
              <w:pStyle w:val="12"/>
              <w:spacing w:before="99"/>
              <w:ind w:left="108"/>
              <w:rPr>
                <w:sz w:val="21"/>
              </w:rPr>
            </w:pPr>
            <w:r>
              <w:rPr>
                <w:sz w:val="21"/>
              </w:rPr>
              <w:t>三、取水总量已超过控制指标地区</w:t>
            </w:r>
          </w:p>
        </w:tc>
        <w:tc>
          <w:tcPr>
            <w:tcW w:w="3651" w:type="dxa"/>
            <w:vMerge w:val="restart"/>
            <w:tcBorders>
              <w:top w:val="single" w:color="000000" w:sz="4" w:space="0"/>
              <w:bottom w:val="single" w:color="000000" w:sz="4" w:space="0"/>
            </w:tcBorders>
          </w:tcPr>
          <w:p>
            <w:pPr>
              <w:pStyle w:val="12"/>
              <w:rPr>
                <w:b/>
                <w:sz w:val="20"/>
              </w:rPr>
            </w:pPr>
          </w:p>
          <w:p>
            <w:pPr>
              <w:pStyle w:val="12"/>
              <w:rPr>
                <w:b/>
                <w:sz w:val="20"/>
              </w:rPr>
            </w:pPr>
          </w:p>
          <w:p>
            <w:pPr>
              <w:pStyle w:val="12"/>
              <w:numPr>
                <w:ilvl w:val="0"/>
                <w:numId w:val="31"/>
              </w:numPr>
              <w:tabs>
                <w:tab w:val="left" w:pos="320"/>
              </w:tabs>
              <w:spacing w:before="146"/>
              <w:rPr>
                <w:sz w:val="21"/>
              </w:rPr>
            </w:pPr>
            <w:r>
              <w:rPr>
                <w:spacing w:val="-10"/>
                <w:sz w:val="21"/>
              </w:rPr>
              <w:t>《长江经济带生态环境保护规划》；</w:t>
            </w:r>
          </w:p>
          <w:p>
            <w:pPr>
              <w:pStyle w:val="12"/>
              <w:numPr>
                <w:ilvl w:val="0"/>
                <w:numId w:val="31"/>
              </w:numPr>
              <w:tabs>
                <w:tab w:val="left" w:pos="320"/>
              </w:tabs>
              <w:spacing w:before="106" w:line="242" w:lineRule="auto"/>
              <w:ind w:left="107" w:right="171" w:firstLine="0"/>
              <w:rPr>
                <w:sz w:val="21"/>
              </w:rPr>
            </w:pPr>
            <w:r>
              <w:rPr>
                <w:spacing w:val="-3"/>
                <w:sz w:val="21"/>
              </w:rPr>
              <w:t>《水体达标方案编制技术指南</w:t>
            </w:r>
            <w:r>
              <w:rPr>
                <w:sz w:val="21"/>
              </w:rPr>
              <w:t>（</w:t>
            </w:r>
            <w:r>
              <w:rPr>
                <w:spacing w:val="-14"/>
                <w:sz w:val="21"/>
              </w:rPr>
              <w:t>试</w:t>
            </w:r>
            <w:r>
              <w:rPr>
                <w:sz w:val="21"/>
              </w:rPr>
              <w:t>行</w:t>
            </w:r>
            <w:r>
              <w:rPr>
                <w:spacing w:val="-106"/>
                <w:sz w:val="21"/>
              </w:rPr>
              <w:t>）》</w:t>
            </w:r>
            <w:r>
              <w:rPr>
                <w:spacing w:val="-3"/>
                <w:sz w:val="21"/>
              </w:rPr>
              <w:t>（环办污防函[2</w:t>
            </w:r>
            <w:r>
              <w:rPr>
                <w:sz w:val="21"/>
              </w:rPr>
              <w:t>016</w:t>
            </w:r>
            <w:r>
              <w:rPr>
                <w:spacing w:val="-3"/>
                <w:sz w:val="21"/>
              </w:rPr>
              <w:t>]5</w:t>
            </w:r>
            <w:r>
              <w:rPr>
                <w:sz w:val="21"/>
              </w:rPr>
              <w:t>63</w:t>
            </w:r>
            <w:r>
              <w:rPr>
                <w:spacing w:val="-53"/>
                <w:sz w:val="21"/>
              </w:rPr>
              <w:t xml:space="preserve"> </w:t>
            </w:r>
            <w:r>
              <w:rPr>
                <w:sz w:val="21"/>
              </w:rPr>
              <w:t>号</w:t>
            </w:r>
            <w:r>
              <w:rPr>
                <w:spacing w:val="-108"/>
                <w:sz w:val="21"/>
              </w:rPr>
              <w:t>）</w:t>
            </w:r>
            <w:r>
              <w:rPr>
                <w:sz w:val="21"/>
              </w:rPr>
              <w:t>；</w:t>
            </w:r>
          </w:p>
          <w:p>
            <w:pPr>
              <w:pStyle w:val="12"/>
              <w:numPr>
                <w:ilvl w:val="0"/>
                <w:numId w:val="31"/>
              </w:numPr>
              <w:tabs>
                <w:tab w:val="left" w:pos="320"/>
              </w:tabs>
              <w:spacing w:before="102"/>
              <w:rPr>
                <w:sz w:val="21"/>
              </w:rPr>
            </w:pPr>
            <w:r>
              <w:rPr>
                <w:spacing w:val="-3"/>
                <w:sz w:val="21"/>
              </w:rPr>
              <w:t>贵州省最严格水资源管理制度。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before="48"/>
              <w:ind w:left="108"/>
              <w:rPr>
                <w:sz w:val="21"/>
              </w:rPr>
            </w:pPr>
            <w:r>
              <w:rPr>
                <w:sz w:val="21"/>
              </w:rPr>
              <w:t>1.对取用水总量已达到或超过控制指标的地区，暂停审批建设项目新增取水许可，制定并严格实施用水总量削减方案，对主要用水行业实施更严格的节水标准。</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before="47" w:line="246" w:lineRule="exact"/>
              <w:ind w:left="108"/>
              <w:rPr>
                <w:sz w:val="21"/>
              </w:rPr>
            </w:pPr>
            <w:r>
              <w:rPr>
                <w:sz w:val="21"/>
              </w:rPr>
              <w:t>2.对临界超载地区，暂停审批高耗水项目，严格管控用水总量，加大节水和非常规水源利用力度，优化调整产业结构；对不超载地区，严格控制水资源消耗总量</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line="267" w:lineRule="exact"/>
              <w:ind w:left="108"/>
              <w:rPr>
                <w:sz w:val="21"/>
              </w:rPr>
            </w:pPr>
            <w:r>
              <w:rPr>
                <w:sz w:val="21"/>
              </w:rPr>
              <w:t>和强度， 强化水资源保护和入河排污监管。</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before="47"/>
              <w:ind w:left="108"/>
              <w:rPr>
                <w:sz w:val="21"/>
              </w:rPr>
            </w:pPr>
            <w:r>
              <w:rPr>
                <w:sz w:val="21"/>
              </w:rPr>
              <w:t>四、水资源重点管控</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054" w:type="dxa"/>
            <w:tcBorders>
              <w:top w:val="nil"/>
              <w:bottom w:val="nil"/>
            </w:tcBorders>
          </w:tcPr>
          <w:p>
            <w:pPr>
              <w:pStyle w:val="12"/>
              <w:spacing w:before="77" w:line="230" w:lineRule="auto"/>
              <w:ind w:left="211" w:right="202"/>
              <w:rPr>
                <w:sz w:val="21"/>
              </w:rPr>
            </w:pPr>
            <w:r>
              <w:rPr>
                <w:sz w:val="21"/>
              </w:rPr>
              <w:t>资源利用效率</w:t>
            </w:r>
          </w:p>
        </w:tc>
        <w:tc>
          <w:tcPr>
            <w:tcW w:w="583" w:type="dxa"/>
            <w:vMerge w:val="continue"/>
            <w:tcBorders>
              <w:top w:val="nil"/>
            </w:tcBorders>
          </w:tcPr>
          <w:p>
            <w:pPr>
              <w:rPr>
                <w:sz w:val="2"/>
                <w:szCs w:val="2"/>
              </w:rPr>
            </w:pPr>
          </w:p>
        </w:tc>
        <w:tc>
          <w:tcPr>
            <w:tcW w:w="1068" w:type="dxa"/>
            <w:tcBorders>
              <w:top w:val="nil"/>
            </w:tcBorders>
          </w:tcPr>
          <w:p>
            <w:pPr>
              <w:pStyle w:val="12"/>
              <w:rPr>
                <w:rFonts w:ascii="Times New Roman"/>
                <w:sz w:val="20"/>
              </w:rPr>
            </w:pPr>
          </w:p>
        </w:tc>
        <w:tc>
          <w:tcPr>
            <w:tcW w:w="14846" w:type="dxa"/>
            <w:tcBorders>
              <w:top w:val="nil"/>
              <w:bottom w:val="single" w:color="000000" w:sz="4" w:space="0"/>
            </w:tcBorders>
          </w:tcPr>
          <w:p>
            <w:pPr>
              <w:pStyle w:val="12"/>
              <w:numPr>
                <w:ilvl w:val="0"/>
                <w:numId w:val="32"/>
              </w:numPr>
              <w:tabs>
                <w:tab w:val="left" w:pos="321"/>
              </w:tabs>
              <w:spacing w:before="47"/>
              <w:rPr>
                <w:sz w:val="21"/>
              </w:rPr>
            </w:pPr>
            <w:r>
              <w:rPr>
                <w:spacing w:val="-3"/>
                <w:sz w:val="21"/>
              </w:rPr>
              <w:t>对现状用水总量超过用水量控制指标的超载区域、地区及流域，暂停审批建设项目新增取水许可，禁止高耗水产业准入。</w:t>
            </w:r>
          </w:p>
          <w:p>
            <w:pPr>
              <w:pStyle w:val="12"/>
              <w:numPr>
                <w:ilvl w:val="0"/>
                <w:numId w:val="32"/>
              </w:numPr>
              <w:tabs>
                <w:tab w:val="left" w:pos="321"/>
              </w:tabs>
              <w:spacing w:before="103"/>
              <w:rPr>
                <w:sz w:val="21"/>
              </w:rPr>
            </w:pPr>
            <w:r>
              <w:rPr>
                <w:spacing w:val="-3"/>
                <w:sz w:val="21"/>
              </w:rPr>
              <w:t>严格控制用水总量；用水效率控制；水功能区限制纳污；用水保障措施（最严格水资源管理制度</w:t>
            </w:r>
            <w:r>
              <w:rPr>
                <w:spacing w:val="-108"/>
                <w:sz w:val="21"/>
              </w:rPr>
              <w:t>）</w:t>
            </w:r>
            <w:r>
              <w:rPr>
                <w:sz w:val="21"/>
              </w:rPr>
              <w:t>。</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bottom w:val="nil"/>
            </w:tcBorders>
          </w:tcPr>
          <w:p>
            <w:pPr>
              <w:pStyle w:val="12"/>
              <w:rPr>
                <w:b/>
                <w:sz w:val="20"/>
              </w:rPr>
            </w:pPr>
          </w:p>
          <w:p>
            <w:pPr>
              <w:pStyle w:val="12"/>
              <w:spacing w:before="1"/>
              <w:rPr>
                <w:b/>
                <w:sz w:val="19"/>
              </w:rPr>
            </w:pPr>
          </w:p>
          <w:p>
            <w:pPr>
              <w:pStyle w:val="12"/>
              <w:spacing w:line="230" w:lineRule="auto"/>
              <w:ind w:left="108" w:right="110"/>
              <w:jc w:val="both"/>
              <w:rPr>
                <w:sz w:val="21"/>
              </w:rPr>
            </w:pPr>
            <w:r>
              <w:rPr>
                <w:sz w:val="21"/>
              </w:rPr>
              <w:t>地下水开采重点管控区</w:t>
            </w:r>
          </w:p>
        </w:tc>
        <w:tc>
          <w:tcPr>
            <w:tcW w:w="14846" w:type="dxa"/>
            <w:tcBorders>
              <w:top w:val="single" w:color="000000" w:sz="4" w:space="0"/>
              <w:bottom w:val="nil"/>
            </w:tcBorders>
          </w:tcPr>
          <w:p>
            <w:pPr>
              <w:pStyle w:val="12"/>
              <w:numPr>
                <w:ilvl w:val="0"/>
                <w:numId w:val="33"/>
              </w:numPr>
              <w:tabs>
                <w:tab w:val="left" w:pos="421"/>
              </w:tabs>
              <w:spacing w:before="104" w:line="242" w:lineRule="auto"/>
              <w:ind w:right="96" w:firstLine="0"/>
              <w:rPr>
                <w:sz w:val="21"/>
              </w:rPr>
            </w:pPr>
            <w:r>
              <w:rPr>
                <w:spacing w:val="-6"/>
                <w:sz w:val="21"/>
              </w:rPr>
              <w:t>理规划、有序推进地下水的开发利用， 严格控制浅层地温能和深层承压水的开发利用。建立健全地下水动态监测、预警预报和监督管理体系。制定完善地下</w:t>
            </w:r>
            <w:r>
              <w:rPr>
                <w:spacing w:val="-4"/>
                <w:sz w:val="21"/>
              </w:rPr>
              <w:t>水保护措施， 防止地下水过度开发、水质污染和水源破坏。</w:t>
            </w:r>
          </w:p>
          <w:p>
            <w:pPr>
              <w:pStyle w:val="12"/>
              <w:numPr>
                <w:ilvl w:val="0"/>
                <w:numId w:val="33"/>
              </w:numPr>
              <w:tabs>
                <w:tab w:val="left" w:pos="421"/>
              </w:tabs>
              <w:spacing w:before="100"/>
              <w:ind w:left="420" w:hanging="313"/>
              <w:rPr>
                <w:sz w:val="21"/>
              </w:rPr>
            </w:pPr>
            <w:r>
              <w:rPr>
                <w:spacing w:val="-3"/>
                <w:sz w:val="21"/>
              </w:rPr>
              <w:t>在地面沉降、地裂缝、岩溶塌陷等地质灾害易发区开发利用地下水， 须进行地质灾害危险性评估。</w:t>
            </w:r>
          </w:p>
          <w:p>
            <w:pPr>
              <w:pStyle w:val="12"/>
              <w:numPr>
                <w:ilvl w:val="0"/>
                <w:numId w:val="33"/>
              </w:numPr>
              <w:tabs>
                <w:tab w:val="left" w:pos="421"/>
              </w:tabs>
              <w:spacing w:before="103" w:line="248" w:lineRule="exact"/>
              <w:ind w:left="420" w:hanging="313"/>
              <w:rPr>
                <w:sz w:val="21"/>
              </w:rPr>
            </w:pPr>
            <w:r>
              <w:rPr>
                <w:spacing w:val="-3"/>
                <w:sz w:val="21"/>
              </w:rPr>
              <w:t>地热水、矿泉水开发严格实行取水许可和采矿许可。规范机井建设管理， 全面排査登记已建机井， 对未经批准和公共供水管网覆盖范围内的自备水井一律</w:t>
            </w:r>
          </w:p>
        </w:tc>
        <w:tc>
          <w:tcPr>
            <w:tcW w:w="3651" w:type="dxa"/>
            <w:tcBorders>
              <w:top w:val="single" w:color="000000" w:sz="4" w:space="0"/>
              <w:bottom w:val="nil"/>
            </w:tcBorders>
          </w:tcPr>
          <w:p>
            <w:pPr>
              <w:pStyle w:val="12"/>
              <w:rPr>
                <w:b/>
                <w:sz w:val="20"/>
              </w:rPr>
            </w:pPr>
          </w:p>
          <w:p>
            <w:pPr>
              <w:pStyle w:val="12"/>
              <w:spacing w:before="8"/>
              <w:rPr>
                <w:b/>
                <w:sz w:val="27"/>
              </w:rPr>
            </w:pPr>
          </w:p>
          <w:p>
            <w:pPr>
              <w:pStyle w:val="12"/>
              <w:spacing w:line="244" w:lineRule="auto"/>
              <w:ind w:left="107" w:right="91"/>
              <w:rPr>
                <w:sz w:val="21"/>
              </w:rPr>
            </w:pPr>
            <w:r>
              <w:rPr>
                <w:sz w:val="21"/>
              </w:rPr>
              <w:t>1.《贵州省水污染防治行动计划工作方案》。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tcBorders>
          </w:tcPr>
          <w:p>
            <w:pPr>
              <w:pStyle w:val="12"/>
              <w:rPr>
                <w:rFonts w:ascii="Times New Roman"/>
                <w:sz w:val="20"/>
              </w:rPr>
            </w:pPr>
          </w:p>
        </w:tc>
        <w:tc>
          <w:tcPr>
            <w:tcW w:w="14846" w:type="dxa"/>
            <w:tcBorders>
              <w:top w:val="nil"/>
            </w:tcBorders>
          </w:tcPr>
          <w:p>
            <w:pPr>
              <w:pStyle w:val="12"/>
              <w:ind w:left="108"/>
              <w:rPr>
                <w:sz w:val="21"/>
              </w:rPr>
            </w:pPr>
            <w:r>
              <w:rPr>
                <w:sz w:val="21"/>
              </w:rPr>
              <w:t>予以关闭。</w:t>
            </w:r>
          </w:p>
        </w:tc>
        <w:tc>
          <w:tcPr>
            <w:tcW w:w="3651" w:type="dxa"/>
            <w:tcBorders>
              <w:top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54" w:type="dxa"/>
            <w:tcBorders>
              <w:top w:val="nil"/>
              <w:bottom w:val="nil"/>
            </w:tcBorders>
          </w:tcPr>
          <w:p>
            <w:pPr>
              <w:pStyle w:val="12"/>
              <w:rPr>
                <w:rFonts w:ascii="Times New Roman"/>
                <w:sz w:val="20"/>
              </w:rPr>
            </w:pPr>
          </w:p>
        </w:tc>
        <w:tc>
          <w:tcPr>
            <w:tcW w:w="1651" w:type="dxa"/>
            <w:gridSpan w:val="2"/>
            <w:tcBorders>
              <w:bottom w:val="nil"/>
            </w:tcBorders>
          </w:tcPr>
          <w:p>
            <w:pPr>
              <w:pStyle w:val="12"/>
              <w:rPr>
                <w:rFonts w:ascii="Times New Roman"/>
                <w:sz w:val="20"/>
              </w:rPr>
            </w:pPr>
          </w:p>
        </w:tc>
        <w:tc>
          <w:tcPr>
            <w:tcW w:w="14846" w:type="dxa"/>
            <w:tcBorders>
              <w:bottom w:val="nil"/>
            </w:tcBorders>
          </w:tcPr>
          <w:p>
            <w:pPr>
              <w:pStyle w:val="12"/>
              <w:spacing w:before="102" w:line="242" w:lineRule="auto"/>
              <w:ind w:left="108" w:right="95"/>
              <w:rPr>
                <w:sz w:val="21"/>
              </w:rPr>
            </w:pPr>
            <w:r>
              <w:rPr>
                <w:sz w:val="21"/>
              </w:rPr>
              <w:t>1.</w:t>
            </w:r>
            <w:r>
              <w:rPr>
                <w:spacing w:val="-9"/>
                <w:sz w:val="21"/>
              </w:rPr>
              <w:t>加强对土壤资源的保护和合理利用，对开发建设过程中剥离的表土，应当单独收集和存放。符合条件的应当优先用于土地复垦、土壤改良、造地和绿化等，禁</w:t>
            </w:r>
            <w:r>
              <w:rPr>
                <w:spacing w:val="-5"/>
                <w:sz w:val="21"/>
              </w:rPr>
              <w:t>止将重金属或者其他有毒有害物质含量超标的工业固体废物、生活垃圾或者污染土壤用于土地复垦。</w:t>
            </w:r>
          </w:p>
        </w:tc>
        <w:tc>
          <w:tcPr>
            <w:tcW w:w="3651" w:type="dxa"/>
            <w:vMerge w:val="restart"/>
          </w:tcPr>
          <w:p>
            <w:pPr>
              <w:pStyle w:val="12"/>
              <w:rPr>
                <w:b/>
                <w:sz w:val="20"/>
              </w:rPr>
            </w:pPr>
          </w:p>
          <w:p>
            <w:pPr>
              <w:pStyle w:val="12"/>
              <w:rPr>
                <w:b/>
                <w:sz w:val="20"/>
              </w:rPr>
            </w:pPr>
          </w:p>
          <w:p>
            <w:pPr>
              <w:pStyle w:val="12"/>
              <w:spacing w:before="4"/>
              <w:rPr>
                <w:b/>
                <w:sz w:val="15"/>
              </w:rPr>
            </w:pPr>
          </w:p>
          <w:p>
            <w:pPr>
              <w:pStyle w:val="12"/>
              <w:numPr>
                <w:ilvl w:val="0"/>
                <w:numId w:val="34"/>
              </w:numPr>
              <w:tabs>
                <w:tab w:val="left" w:pos="320"/>
              </w:tabs>
              <w:spacing w:line="242" w:lineRule="auto"/>
              <w:ind w:right="-15" w:firstLine="0"/>
              <w:rPr>
                <w:sz w:val="21"/>
              </w:rPr>
            </w:pPr>
            <w:r>
              <w:rPr>
                <w:spacing w:val="-3"/>
                <w:sz w:val="21"/>
              </w:rPr>
              <w:t>自然资源部关于推进土地节约利用</w:t>
            </w:r>
            <w:r>
              <w:rPr>
                <w:spacing w:val="-20"/>
                <w:sz w:val="21"/>
              </w:rPr>
              <w:t>的指导意见</w:t>
            </w:r>
            <w:r>
              <w:rPr>
                <w:sz w:val="21"/>
              </w:rPr>
              <w:t>（</w:t>
            </w:r>
            <w:r>
              <w:rPr>
                <w:spacing w:val="-3"/>
                <w:sz w:val="21"/>
              </w:rPr>
              <w:t>国土资发[2</w:t>
            </w:r>
            <w:r>
              <w:rPr>
                <w:sz w:val="21"/>
              </w:rPr>
              <w:t>0</w:t>
            </w:r>
            <w:r>
              <w:rPr>
                <w:spacing w:val="-3"/>
                <w:sz w:val="21"/>
              </w:rPr>
              <w:t>1</w:t>
            </w:r>
            <w:r>
              <w:rPr>
                <w:sz w:val="21"/>
              </w:rPr>
              <w:t>4]119</w:t>
            </w:r>
            <w:r>
              <w:rPr>
                <w:spacing w:val="-55"/>
                <w:sz w:val="21"/>
              </w:rPr>
              <w:t xml:space="preserve"> </w:t>
            </w:r>
            <w:r>
              <w:rPr>
                <w:sz w:val="21"/>
              </w:rPr>
              <w:t>号</w:t>
            </w:r>
            <w:r>
              <w:rPr>
                <w:spacing w:val="-106"/>
                <w:sz w:val="21"/>
              </w:rPr>
              <w:t>）</w:t>
            </w:r>
            <w:r>
              <w:rPr>
                <w:sz w:val="21"/>
              </w:rPr>
              <w:t>；</w:t>
            </w:r>
          </w:p>
          <w:p>
            <w:pPr>
              <w:pStyle w:val="12"/>
              <w:numPr>
                <w:ilvl w:val="0"/>
                <w:numId w:val="34"/>
              </w:numPr>
              <w:tabs>
                <w:tab w:val="left" w:pos="320"/>
              </w:tabs>
              <w:spacing w:before="102" w:line="242" w:lineRule="auto"/>
              <w:ind w:right="171" w:firstLine="0"/>
              <w:rPr>
                <w:sz w:val="21"/>
              </w:rPr>
            </w:pPr>
            <w:r>
              <w:rPr>
                <w:spacing w:val="-3"/>
                <w:sz w:val="21"/>
              </w:rPr>
              <w:t>节约利用土地规定</w:t>
            </w:r>
            <w:r>
              <w:rPr>
                <w:sz w:val="21"/>
              </w:rPr>
              <w:t>（</w:t>
            </w:r>
            <w:r>
              <w:rPr>
                <w:spacing w:val="-5"/>
                <w:sz w:val="21"/>
              </w:rPr>
              <w:t>中华人民共和</w:t>
            </w:r>
            <w:r>
              <w:rPr>
                <w:spacing w:val="-9"/>
                <w:sz w:val="21"/>
              </w:rPr>
              <w:t xml:space="preserve">国自然资源部令第 </w:t>
            </w:r>
            <w:r>
              <w:rPr>
                <w:sz w:val="21"/>
              </w:rPr>
              <w:t>61</w:t>
            </w:r>
            <w:r>
              <w:rPr>
                <w:spacing w:val="-28"/>
                <w:sz w:val="21"/>
              </w:rPr>
              <w:t xml:space="preserve"> 号</w:t>
            </w:r>
            <w:r>
              <w:rPr>
                <w:spacing w:val="-3"/>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54" w:type="dxa"/>
            <w:tcBorders>
              <w:top w:val="nil"/>
              <w:bottom w:val="nil"/>
            </w:tcBorders>
          </w:tcPr>
          <w:p>
            <w:pPr>
              <w:pStyle w:val="12"/>
              <w:rPr>
                <w:rFonts w:ascii="Times New Roman"/>
                <w:sz w:val="20"/>
              </w:rPr>
            </w:pPr>
          </w:p>
        </w:tc>
        <w:tc>
          <w:tcPr>
            <w:tcW w:w="1651" w:type="dxa"/>
            <w:gridSpan w:val="2"/>
            <w:tcBorders>
              <w:top w:val="nil"/>
              <w:bottom w:val="nil"/>
            </w:tcBorders>
          </w:tcPr>
          <w:p>
            <w:pPr>
              <w:pStyle w:val="12"/>
              <w:rPr>
                <w:rFonts w:ascii="Times New Roman"/>
                <w:sz w:val="20"/>
              </w:rPr>
            </w:pPr>
          </w:p>
        </w:tc>
        <w:tc>
          <w:tcPr>
            <w:tcW w:w="14846" w:type="dxa"/>
            <w:tcBorders>
              <w:top w:val="nil"/>
              <w:bottom w:val="nil"/>
            </w:tcBorders>
          </w:tcPr>
          <w:p>
            <w:pPr>
              <w:pStyle w:val="12"/>
              <w:spacing w:before="49"/>
              <w:ind w:left="108"/>
              <w:rPr>
                <w:sz w:val="21"/>
              </w:rPr>
            </w:pPr>
            <w:r>
              <w:rPr>
                <w:sz w:val="21"/>
              </w:rPr>
              <w:t>2.加强建设用地规划引领管控：(1)严控城乡建设用地规模； (2)优化建设用地结构布局。</w:t>
            </w:r>
          </w:p>
        </w:tc>
        <w:tc>
          <w:tcPr>
            <w:tcW w:w="365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54" w:type="dxa"/>
            <w:tcBorders>
              <w:top w:val="nil"/>
              <w:bottom w:val="nil"/>
            </w:tcBorders>
          </w:tcPr>
          <w:p>
            <w:pPr>
              <w:pStyle w:val="12"/>
              <w:rPr>
                <w:rFonts w:ascii="Times New Roman"/>
                <w:sz w:val="20"/>
              </w:rPr>
            </w:pPr>
          </w:p>
        </w:tc>
        <w:tc>
          <w:tcPr>
            <w:tcW w:w="1651" w:type="dxa"/>
            <w:gridSpan w:val="2"/>
            <w:tcBorders>
              <w:top w:val="nil"/>
              <w:bottom w:val="nil"/>
            </w:tcBorders>
          </w:tcPr>
          <w:p>
            <w:pPr>
              <w:pStyle w:val="12"/>
              <w:spacing w:before="102"/>
              <w:ind w:left="405"/>
              <w:rPr>
                <w:sz w:val="21"/>
              </w:rPr>
            </w:pPr>
            <w:r>
              <w:rPr>
                <w:sz w:val="21"/>
              </w:rPr>
              <w:t>土地资源</w:t>
            </w:r>
          </w:p>
        </w:tc>
        <w:tc>
          <w:tcPr>
            <w:tcW w:w="14846" w:type="dxa"/>
            <w:tcBorders>
              <w:top w:val="nil"/>
              <w:bottom w:val="nil"/>
            </w:tcBorders>
          </w:tcPr>
          <w:p>
            <w:pPr>
              <w:pStyle w:val="12"/>
              <w:spacing w:before="49"/>
              <w:ind w:left="108"/>
              <w:rPr>
                <w:sz w:val="21"/>
              </w:rPr>
            </w:pPr>
            <w:r>
              <w:rPr>
                <w:sz w:val="21"/>
              </w:rPr>
              <w:t>3.促进建设用地立体综合开发：(1)鼓励建设用地立体开发；(2)支持土地综合开发利用；(3)推行多层标准化厂房建设。</w:t>
            </w:r>
          </w:p>
        </w:tc>
        <w:tc>
          <w:tcPr>
            <w:tcW w:w="365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054" w:type="dxa"/>
            <w:tcBorders>
              <w:top w:val="nil"/>
              <w:bottom w:val="nil"/>
            </w:tcBorders>
          </w:tcPr>
          <w:p>
            <w:pPr>
              <w:pStyle w:val="12"/>
              <w:rPr>
                <w:rFonts w:ascii="Times New Roman"/>
                <w:sz w:val="20"/>
              </w:rPr>
            </w:pPr>
          </w:p>
        </w:tc>
        <w:tc>
          <w:tcPr>
            <w:tcW w:w="1651" w:type="dxa"/>
            <w:gridSpan w:val="2"/>
            <w:tcBorders>
              <w:top w:val="nil"/>
              <w:bottom w:val="nil"/>
            </w:tcBorders>
          </w:tcPr>
          <w:p>
            <w:pPr>
              <w:pStyle w:val="12"/>
              <w:rPr>
                <w:rFonts w:ascii="Times New Roman"/>
                <w:sz w:val="20"/>
              </w:rPr>
            </w:pPr>
          </w:p>
        </w:tc>
        <w:tc>
          <w:tcPr>
            <w:tcW w:w="14846" w:type="dxa"/>
            <w:tcBorders>
              <w:top w:val="nil"/>
              <w:bottom w:val="nil"/>
            </w:tcBorders>
          </w:tcPr>
          <w:p>
            <w:pPr>
              <w:pStyle w:val="12"/>
              <w:spacing w:before="23"/>
              <w:ind w:left="108"/>
              <w:rPr>
                <w:sz w:val="21"/>
              </w:rPr>
            </w:pPr>
            <w:r>
              <w:rPr>
                <w:sz w:val="21"/>
              </w:rPr>
              <w:t>4.实施城镇存量土地盘活利用：(1)推进城镇低效用地再开发；(2)鼓励低效工业用地内涵挖潜。</w:t>
            </w:r>
          </w:p>
        </w:tc>
        <w:tc>
          <w:tcPr>
            <w:tcW w:w="365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54" w:type="dxa"/>
            <w:tcBorders>
              <w:top w:val="nil"/>
              <w:bottom w:val="nil"/>
            </w:tcBorders>
          </w:tcPr>
          <w:p>
            <w:pPr>
              <w:pStyle w:val="12"/>
              <w:rPr>
                <w:rFonts w:ascii="Times New Roman"/>
                <w:sz w:val="20"/>
              </w:rPr>
            </w:pPr>
          </w:p>
        </w:tc>
        <w:tc>
          <w:tcPr>
            <w:tcW w:w="1651" w:type="dxa"/>
            <w:gridSpan w:val="2"/>
            <w:tcBorders>
              <w:top w:val="nil"/>
              <w:bottom w:val="nil"/>
            </w:tcBorders>
          </w:tcPr>
          <w:p>
            <w:pPr>
              <w:pStyle w:val="12"/>
              <w:rPr>
                <w:rFonts w:ascii="Times New Roman"/>
                <w:sz w:val="20"/>
              </w:rPr>
            </w:pPr>
          </w:p>
        </w:tc>
        <w:tc>
          <w:tcPr>
            <w:tcW w:w="14846" w:type="dxa"/>
            <w:tcBorders>
              <w:top w:val="nil"/>
              <w:bottom w:val="nil"/>
            </w:tcBorders>
          </w:tcPr>
          <w:p>
            <w:pPr>
              <w:pStyle w:val="12"/>
              <w:spacing w:before="50"/>
              <w:ind w:left="108"/>
              <w:rPr>
                <w:sz w:val="21"/>
              </w:rPr>
            </w:pPr>
            <w:r>
              <w:rPr>
                <w:sz w:val="21"/>
              </w:rPr>
              <w:t>5.提高农村建设用地利用效率：(1)严格农村用地标准控制；(2)盘活存量集体建设用地。</w:t>
            </w:r>
          </w:p>
        </w:tc>
        <w:tc>
          <w:tcPr>
            <w:tcW w:w="365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54" w:type="dxa"/>
            <w:tcBorders>
              <w:top w:val="nil"/>
              <w:bottom w:val="nil"/>
            </w:tcBorders>
          </w:tcPr>
          <w:p>
            <w:pPr>
              <w:pStyle w:val="12"/>
              <w:rPr>
                <w:rFonts w:ascii="Times New Roman"/>
                <w:sz w:val="20"/>
              </w:rPr>
            </w:pPr>
          </w:p>
        </w:tc>
        <w:tc>
          <w:tcPr>
            <w:tcW w:w="1651" w:type="dxa"/>
            <w:gridSpan w:val="2"/>
            <w:tcBorders>
              <w:top w:val="nil"/>
            </w:tcBorders>
          </w:tcPr>
          <w:p>
            <w:pPr>
              <w:pStyle w:val="12"/>
              <w:rPr>
                <w:rFonts w:ascii="Times New Roman"/>
                <w:sz w:val="20"/>
              </w:rPr>
            </w:pPr>
          </w:p>
        </w:tc>
        <w:tc>
          <w:tcPr>
            <w:tcW w:w="14846" w:type="dxa"/>
            <w:tcBorders>
              <w:top w:val="nil"/>
            </w:tcBorders>
          </w:tcPr>
          <w:p>
            <w:pPr>
              <w:pStyle w:val="12"/>
              <w:spacing w:before="49"/>
              <w:ind w:left="108"/>
              <w:rPr>
                <w:sz w:val="21"/>
              </w:rPr>
            </w:pPr>
            <w:r>
              <w:rPr>
                <w:sz w:val="21"/>
              </w:rPr>
              <w:t>6.严格控制城镇规划区无序建设，城镇规划区范围严格符合城镇总体规划。</w:t>
            </w:r>
          </w:p>
        </w:tc>
        <w:tc>
          <w:tcPr>
            <w:tcW w:w="3651" w:type="dxa"/>
            <w:vMerge w:val="continue"/>
            <w:tcBorders>
              <w:top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54" w:type="dxa"/>
            <w:tcBorders>
              <w:top w:val="nil"/>
              <w:bottom w:val="nil"/>
            </w:tcBorders>
          </w:tcPr>
          <w:p>
            <w:pPr>
              <w:pStyle w:val="12"/>
              <w:rPr>
                <w:rFonts w:ascii="Times New Roman"/>
                <w:sz w:val="20"/>
              </w:rPr>
            </w:pPr>
          </w:p>
        </w:tc>
        <w:tc>
          <w:tcPr>
            <w:tcW w:w="1651" w:type="dxa"/>
            <w:gridSpan w:val="2"/>
            <w:tcBorders>
              <w:bottom w:val="nil"/>
            </w:tcBorders>
          </w:tcPr>
          <w:p>
            <w:pPr>
              <w:pStyle w:val="12"/>
              <w:rPr>
                <w:rFonts w:ascii="Times New Roman"/>
                <w:sz w:val="20"/>
              </w:rPr>
            </w:pPr>
          </w:p>
        </w:tc>
        <w:tc>
          <w:tcPr>
            <w:tcW w:w="14846" w:type="dxa"/>
            <w:tcBorders>
              <w:bottom w:val="nil"/>
            </w:tcBorders>
          </w:tcPr>
          <w:p>
            <w:pPr>
              <w:pStyle w:val="12"/>
              <w:spacing w:before="102" w:line="250" w:lineRule="exact"/>
              <w:ind w:left="108"/>
              <w:rPr>
                <w:sz w:val="21"/>
              </w:rPr>
            </w:pPr>
            <w:r>
              <w:rPr>
                <w:sz w:val="21"/>
              </w:rPr>
              <w:t>1.</w:t>
            </w:r>
            <w:r>
              <w:rPr>
                <w:spacing w:val="-3"/>
                <w:sz w:val="21"/>
              </w:rPr>
              <w:t>高污染燃料禁燃区内禁止销售、使用高污染燃料，即煤炭及其制品（包括原煤、散煤、煤矸石、煤泥、煤粉、水煤浆、型煤、焦炭、兰炭等</w:t>
            </w:r>
            <w:r>
              <w:rPr>
                <w:spacing w:val="-106"/>
                <w:sz w:val="21"/>
              </w:rPr>
              <w:t>）</w:t>
            </w:r>
            <w:r>
              <w:rPr>
                <w:spacing w:val="-3"/>
                <w:sz w:val="21"/>
              </w:rPr>
              <w:t>、油类等常规燃</w:t>
            </w:r>
          </w:p>
        </w:tc>
        <w:tc>
          <w:tcPr>
            <w:tcW w:w="3651" w:type="dxa"/>
            <w:tcBorders>
              <w:bottom w:val="nil"/>
            </w:tcBorders>
          </w:tcPr>
          <w:p>
            <w:pPr>
              <w:pStyle w:val="12"/>
              <w:spacing w:before="99" w:line="252" w:lineRule="exact"/>
              <w:ind w:right="65"/>
              <w:jc w:val="center"/>
              <w:rPr>
                <w:sz w:val="21"/>
              </w:rPr>
            </w:pPr>
            <w:r>
              <w:rPr>
                <w:sz w:val="21"/>
              </w:rPr>
              <w:t>1.《“十三五”生态环境保护规划》；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54" w:type="dxa"/>
            <w:tcBorders>
              <w:top w:val="nil"/>
              <w:bottom w:val="nil"/>
            </w:tcBorders>
          </w:tcPr>
          <w:p>
            <w:pPr>
              <w:pStyle w:val="12"/>
              <w:rPr>
                <w:rFonts w:ascii="Times New Roman"/>
                <w:sz w:val="20"/>
              </w:rPr>
            </w:pPr>
          </w:p>
        </w:tc>
        <w:tc>
          <w:tcPr>
            <w:tcW w:w="1651" w:type="dxa"/>
            <w:gridSpan w:val="2"/>
            <w:tcBorders>
              <w:top w:val="nil"/>
              <w:bottom w:val="nil"/>
            </w:tcBorders>
          </w:tcPr>
          <w:p>
            <w:pPr>
              <w:pStyle w:val="12"/>
              <w:spacing w:before="11"/>
              <w:rPr>
                <w:b/>
                <w:sz w:val="14"/>
              </w:rPr>
            </w:pPr>
          </w:p>
          <w:p>
            <w:pPr>
              <w:pStyle w:val="12"/>
              <w:spacing w:before="1"/>
              <w:ind w:left="405"/>
              <w:rPr>
                <w:sz w:val="21"/>
              </w:rPr>
            </w:pPr>
            <w:r>
              <w:rPr>
                <w:sz w:val="21"/>
              </w:rPr>
              <w:t>能源资源</w:t>
            </w:r>
          </w:p>
        </w:tc>
        <w:tc>
          <w:tcPr>
            <w:tcW w:w="14846" w:type="dxa"/>
            <w:tcBorders>
              <w:top w:val="nil"/>
              <w:bottom w:val="nil"/>
            </w:tcBorders>
          </w:tcPr>
          <w:p>
            <w:pPr>
              <w:pStyle w:val="12"/>
              <w:spacing w:before="1"/>
              <w:ind w:left="108"/>
              <w:rPr>
                <w:sz w:val="21"/>
              </w:rPr>
            </w:pPr>
            <w:r>
              <w:rPr>
                <w:sz w:val="21"/>
              </w:rPr>
              <w:t>料。禁止新建、扩建燃用高污染燃料的锅炉、炉窑、炉灶等燃烧设施.</w:t>
            </w:r>
          </w:p>
          <w:p>
            <w:pPr>
              <w:pStyle w:val="12"/>
              <w:spacing w:before="103"/>
              <w:ind w:left="108"/>
              <w:rPr>
                <w:sz w:val="21"/>
              </w:rPr>
            </w:pPr>
            <w:r>
              <w:rPr>
                <w:sz w:val="21"/>
              </w:rPr>
              <w:t>2.全面淘汰 20 蒸吨及以下燃煤锅炉的基础上，2020 年前完成 35 蒸吨及以下燃煤锅炉淘汰(改造)工作。</w:t>
            </w:r>
          </w:p>
        </w:tc>
        <w:tc>
          <w:tcPr>
            <w:tcW w:w="3651" w:type="dxa"/>
            <w:tcBorders>
              <w:top w:val="nil"/>
              <w:bottom w:val="nil"/>
            </w:tcBorders>
          </w:tcPr>
          <w:p>
            <w:pPr>
              <w:pStyle w:val="12"/>
              <w:spacing w:before="102" w:line="242" w:lineRule="auto"/>
              <w:ind w:left="107" w:right="120"/>
              <w:rPr>
                <w:sz w:val="21"/>
              </w:rPr>
            </w:pPr>
            <w:r>
              <w:rPr>
                <w:sz w:val="21"/>
              </w:rPr>
              <w:t>2.</w:t>
            </w:r>
            <w:r>
              <w:rPr>
                <w:spacing w:val="-3"/>
                <w:sz w:val="21"/>
              </w:rPr>
              <w:t>《国务院关于印发大气污染防治行</w:t>
            </w:r>
            <w:r>
              <w:rPr>
                <w:spacing w:val="-18"/>
                <w:sz w:val="21"/>
              </w:rPr>
              <w:t>定计划的通知》</w:t>
            </w:r>
            <w:r>
              <w:rPr>
                <w:sz w:val="21"/>
              </w:rPr>
              <w:t>（</w:t>
            </w:r>
            <w:r>
              <w:rPr>
                <w:spacing w:val="-2"/>
                <w:sz w:val="21"/>
              </w:rPr>
              <w:t>国发</w:t>
            </w:r>
            <w:r>
              <w:rPr>
                <w:sz w:val="21"/>
              </w:rPr>
              <w:t>[2</w:t>
            </w:r>
            <w:r>
              <w:rPr>
                <w:spacing w:val="-3"/>
                <w:sz w:val="21"/>
              </w:rPr>
              <w:t>01</w:t>
            </w:r>
            <w:r>
              <w:rPr>
                <w:sz w:val="21"/>
              </w:rPr>
              <w:t>3]37</w:t>
            </w:r>
            <w:r>
              <w:rPr>
                <w:spacing w:val="-55"/>
                <w:sz w:val="21"/>
              </w:rPr>
              <w:t xml:space="preserve"> </w:t>
            </w:r>
            <w:r>
              <w:rPr>
                <w:sz w:val="21"/>
              </w:rPr>
              <w:t>号</w:t>
            </w:r>
            <w:r>
              <w:rPr>
                <w:spacing w:val="-113"/>
                <w:sz w:val="21"/>
              </w:rPr>
              <w:t>）</w:t>
            </w:r>
            <w:r>
              <w:rPr>
                <w:spacing w:val="-7"/>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54" w:type="dxa"/>
            <w:tcBorders>
              <w:top w:val="nil"/>
            </w:tcBorders>
          </w:tcPr>
          <w:p>
            <w:pPr>
              <w:pStyle w:val="12"/>
              <w:rPr>
                <w:rFonts w:ascii="Times New Roman"/>
                <w:sz w:val="20"/>
              </w:rPr>
            </w:pPr>
          </w:p>
        </w:tc>
        <w:tc>
          <w:tcPr>
            <w:tcW w:w="1651" w:type="dxa"/>
            <w:gridSpan w:val="2"/>
            <w:tcBorders>
              <w:top w:val="nil"/>
            </w:tcBorders>
          </w:tcPr>
          <w:p>
            <w:pPr>
              <w:pStyle w:val="12"/>
              <w:rPr>
                <w:rFonts w:ascii="Times New Roman"/>
                <w:sz w:val="20"/>
              </w:rPr>
            </w:pPr>
          </w:p>
        </w:tc>
        <w:tc>
          <w:tcPr>
            <w:tcW w:w="14846" w:type="dxa"/>
            <w:tcBorders>
              <w:top w:val="nil"/>
            </w:tcBorders>
          </w:tcPr>
          <w:p>
            <w:pPr>
              <w:pStyle w:val="12"/>
              <w:spacing w:before="52" w:line="252" w:lineRule="exact"/>
              <w:ind w:left="108"/>
              <w:rPr>
                <w:sz w:val="21"/>
              </w:rPr>
            </w:pPr>
            <w:r>
              <w:rPr>
                <w:sz w:val="21"/>
              </w:rPr>
              <w:t>3.依托中缅、中贵管道，到 2020 年全面完成“气化贵州”的工程目标；加大实施煤改气、煤改电，散煤清洁化治理力度；有序发展火电，充分开发水电，积极</w:t>
            </w:r>
          </w:p>
        </w:tc>
        <w:tc>
          <w:tcPr>
            <w:tcW w:w="3651" w:type="dxa"/>
            <w:tcBorders>
              <w:top w:val="nil"/>
            </w:tcBorders>
          </w:tcPr>
          <w:p>
            <w:pPr>
              <w:pStyle w:val="12"/>
              <w:spacing w:before="52" w:line="252" w:lineRule="exact"/>
              <w:ind w:left="2" w:right="65"/>
              <w:jc w:val="center"/>
              <w:rPr>
                <w:sz w:val="21"/>
              </w:rPr>
            </w:pPr>
            <w:r>
              <w:rPr>
                <w:sz w:val="21"/>
              </w:rPr>
              <w:t>3.《打赢蓝天保卫战三年行动计划的</w:t>
            </w:r>
          </w:p>
        </w:tc>
      </w:tr>
    </w:tbl>
    <w:p>
      <w:pPr>
        <w:spacing w:line="252" w:lineRule="exact"/>
        <w:jc w:val="center"/>
        <w:rPr>
          <w:sz w:val="21"/>
        </w:rPr>
        <w:sectPr>
          <w:pgSz w:w="23760" w:h="16790" w:orient="landscape"/>
          <w:pgMar w:top="1060" w:right="660" w:bottom="1080" w:left="860" w:header="0" w:footer="894" w:gutter="0"/>
          <w:cols w:space="720" w:num="1"/>
        </w:sectPr>
      </w:pPr>
    </w:p>
    <w:tbl>
      <w:tblPr>
        <w:tblStyle w:val="3"/>
        <w:tblW w:w="21202" w:type="dxa"/>
        <w:tblInd w:w="4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583"/>
        <w:gridCol w:w="1068"/>
        <w:gridCol w:w="14846"/>
        <w:gridCol w:w="3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54" w:type="dxa"/>
          </w:tcPr>
          <w:p>
            <w:pPr>
              <w:pStyle w:val="12"/>
              <w:spacing w:before="102"/>
              <w:ind w:left="314"/>
              <w:rPr>
                <w:b/>
                <w:sz w:val="21"/>
              </w:rPr>
            </w:pPr>
            <w:r>
              <w:rPr>
                <w:b/>
                <w:sz w:val="21"/>
              </w:rPr>
              <w:t>分类</w:t>
            </w:r>
          </w:p>
        </w:tc>
        <w:tc>
          <w:tcPr>
            <w:tcW w:w="1651" w:type="dxa"/>
            <w:gridSpan w:val="2"/>
          </w:tcPr>
          <w:p>
            <w:pPr>
              <w:pStyle w:val="12"/>
              <w:spacing w:before="102"/>
              <w:ind w:left="594" w:right="589"/>
              <w:jc w:val="center"/>
              <w:rPr>
                <w:b/>
                <w:sz w:val="21"/>
              </w:rPr>
            </w:pPr>
            <w:r>
              <w:rPr>
                <w:b/>
                <w:sz w:val="21"/>
              </w:rPr>
              <w:t>管控</w:t>
            </w:r>
          </w:p>
        </w:tc>
        <w:tc>
          <w:tcPr>
            <w:tcW w:w="14846" w:type="dxa"/>
          </w:tcPr>
          <w:p>
            <w:pPr>
              <w:pStyle w:val="12"/>
              <w:spacing w:before="102"/>
              <w:ind w:left="6876" w:right="6870"/>
              <w:jc w:val="center"/>
              <w:rPr>
                <w:b/>
                <w:sz w:val="21"/>
              </w:rPr>
            </w:pPr>
            <w:r>
              <w:rPr>
                <w:b/>
                <w:sz w:val="21"/>
              </w:rPr>
              <w:t>管控和要求</w:t>
            </w:r>
          </w:p>
        </w:tc>
        <w:tc>
          <w:tcPr>
            <w:tcW w:w="3651" w:type="dxa"/>
          </w:tcPr>
          <w:p>
            <w:pPr>
              <w:pStyle w:val="12"/>
              <w:spacing w:before="102"/>
              <w:ind w:left="1192"/>
              <w:rPr>
                <w:b/>
                <w:sz w:val="21"/>
              </w:rPr>
            </w:pPr>
            <w:r>
              <w:rPr>
                <w:b/>
                <w:sz w:val="21"/>
              </w:rPr>
              <w:t>管控要求来源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54" w:type="dxa"/>
            <w:tcBorders>
              <w:bottom w:val="single" w:color="000000" w:sz="4" w:space="0"/>
            </w:tcBorders>
          </w:tcPr>
          <w:p>
            <w:pPr>
              <w:pStyle w:val="12"/>
              <w:rPr>
                <w:rFonts w:ascii="Times New Roman"/>
                <w:sz w:val="20"/>
              </w:rPr>
            </w:pPr>
          </w:p>
        </w:tc>
        <w:tc>
          <w:tcPr>
            <w:tcW w:w="1651" w:type="dxa"/>
            <w:gridSpan w:val="2"/>
            <w:tcBorders>
              <w:bottom w:val="single" w:color="000000" w:sz="4" w:space="0"/>
            </w:tcBorders>
          </w:tcPr>
          <w:p>
            <w:pPr>
              <w:pStyle w:val="12"/>
              <w:rPr>
                <w:rFonts w:ascii="Times New Roman"/>
                <w:sz w:val="20"/>
              </w:rPr>
            </w:pPr>
          </w:p>
        </w:tc>
        <w:tc>
          <w:tcPr>
            <w:tcW w:w="14846" w:type="dxa"/>
          </w:tcPr>
          <w:p>
            <w:pPr>
              <w:pStyle w:val="12"/>
              <w:spacing w:before="1"/>
              <w:ind w:left="108"/>
              <w:rPr>
                <w:sz w:val="21"/>
              </w:rPr>
            </w:pPr>
            <w:r>
              <w:rPr>
                <w:sz w:val="21"/>
              </w:rPr>
              <w:t>发展分布式水电、风电、生物质发电、太阳能光伏发电等新能源和可再生能源。</w:t>
            </w:r>
          </w:p>
          <w:p>
            <w:pPr>
              <w:pStyle w:val="12"/>
              <w:spacing w:before="106"/>
              <w:ind w:left="108"/>
              <w:rPr>
                <w:sz w:val="21"/>
              </w:rPr>
            </w:pPr>
            <w:r>
              <w:rPr>
                <w:sz w:val="21"/>
              </w:rPr>
              <w:t>4.禁止勘查汞矿、铊矿、砷矿、高氟煤、高砷煤。</w:t>
            </w:r>
          </w:p>
        </w:tc>
        <w:tc>
          <w:tcPr>
            <w:tcW w:w="3651" w:type="dxa"/>
          </w:tcPr>
          <w:p>
            <w:pPr>
              <w:pStyle w:val="12"/>
              <w:spacing w:before="1"/>
              <w:ind w:left="107"/>
              <w:rPr>
                <w:sz w:val="21"/>
              </w:rPr>
            </w:pPr>
            <w:r>
              <w:rPr>
                <w:sz w:val="21"/>
              </w:rPr>
              <w:t>通知》（国发[2018]22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054" w:type="dxa"/>
            <w:tcBorders>
              <w:top w:val="single" w:color="000000" w:sz="4" w:space="0"/>
              <w:bottom w:val="nil"/>
            </w:tcBorders>
          </w:tcPr>
          <w:p>
            <w:pPr>
              <w:pStyle w:val="12"/>
              <w:rPr>
                <w:rFonts w:ascii="Times New Roman"/>
                <w:sz w:val="20"/>
              </w:rPr>
            </w:pPr>
          </w:p>
        </w:tc>
        <w:tc>
          <w:tcPr>
            <w:tcW w:w="583" w:type="dxa"/>
            <w:vMerge w:val="restart"/>
            <w:tcBorders>
              <w:top w:val="single" w:color="000000" w:sz="4" w:space="0"/>
              <w:right w:val="single" w:color="000000" w:sz="4" w:space="0"/>
            </w:tcBorders>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5"/>
              <w:rPr>
                <w:b/>
                <w:sz w:val="21"/>
              </w:rPr>
            </w:pPr>
          </w:p>
          <w:p>
            <w:pPr>
              <w:pStyle w:val="12"/>
              <w:spacing w:line="242" w:lineRule="auto"/>
              <w:ind w:left="184" w:right="177"/>
              <w:jc w:val="both"/>
              <w:rPr>
                <w:sz w:val="21"/>
              </w:rPr>
            </w:pPr>
            <w:r>
              <w:rPr>
                <w:sz w:val="21"/>
              </w:rPr>
              <w:t>岸线资源</w:t>
            </w:r>
          </w:p>
        </w:tc>
        <w:tc>
          <w:tcPr>
            <w:tcW w:w="1068" w:type="dxa"/>
            <w:tcBorders>
              <w:left w:val="single" w:color="000000" w:sz="4" w:space="0"/>
              <w:bottom w:val="nil"/>
            </w:tcBorders>
          </w:tcPr>
          <w:p>
            <w:pPr>
              <w:pStyle w:val="12"/>
              <w:spacing w:before="6"/>
              <w:rPr>
                <w:b/>
                <w:sz w:val="26"/>
              </w:rPr>
            </w:pPr>
          </w:p>
          <w:p>
            <w:pPr>
              <w:pStyle w:val="12"/>
              <w:spacing w:line="242" w:lineRule="auto"/>
              <w:ind w:left="105" w:right="110"/>
              <w:rPr>
                <w:sz w:val="21"/>
              </w:rPr>
            </w:pPr>
            <w:r>
              <w:rPr>
                <w:sz w:val="21"/>
              </w:rPr>
              <w:t>禁止开发建设活动</w:t>
            </w:r>
          </w:p>
          <w:p>
            <w:pPr>
              <w:pStyle w:val="12"/>
              <w:spacing w:before="1" w:line="227" w:lineRule="exact"/>
              <w:ind w:left="105"/>
              <w:rPr>
                <w:sz w:val="21"/>
              </w:rPr>
            </w:pPr>
            <w:r>
              <w:rPr>
                <w:sz w:val="21"/>
              </w:rPr>
              <w:t>的要求</w:t>
            </w:r>
          </w:p>
        </w:tc>
        <w:tc>
          <w:tcPr>
            <w:tcW w:w="14846" w:type="dxa"/>
            <w:tcBorders>
              <w:bottom w:val="nil"/>
            </w:tcBorders>
          </w:tcPr>
          <w:p>
            <w:pPr>
              <w:pStyle w:val="12"/>
              <w:numPr>
                <w:ilvl w:val="0"/>
                <w:numId w:val="35"/>
              </w:numPr>
              <w:tabs>
                <w:tab w:val="left" w:pos="321"/>
              </w:tabs>
              <w:spacing w:before="104" w:line="242" w:lineRule="auto"/>
              <w:ind w:right="23" w:firstLine="0"/>
              <w:rPr>
                <w:sz w:val="21"/>
              </w:rPr>
            </w:pPr>
            <w:r>
              <w:rPr>
                <w:spacing w:val="-5"/>
                <w:sz w:val="21"/>
              </w:rPr>
              <w:t xml:space="preserve">严禁在干流及主要支流岸线 </w:t>
            </w:r>
            <w:r>
              <w:rPr>
                <w:sz w:val="21"/>
              </w:rPr>
              <w:t>1km</w:t>
            </w:r>
            <w:r>
              <w:rPr>
                <w:spacing w:val="-6"/>
                <w:sz w:val="21"/>
              </w:rPr>
              <w:t xml:space="preserve"> 范围内布局新建重化工园区，其他工业项目选址区域应有相应的环境容量，未按要求完成污染物总量削减任务的区域和流域， </w:t>
            </w:r>
            <w:r>
              <w:rPr>
                <w:spacing w:val="-4"/>
                <w:sz w:val="21"/>
              </w:rPr>
              <w:t>不得建设新增相应污染物排放量的工业项目。</w:t>
            </w:r>
          </w:p>
          <w:p>
            <w:pPr>
              <w:pStyle w:val="12"/>
              <w:numPr>
                <w:ilvl w:val="0"/>
                <w:numId w:val="35"/>
              </w:numPr>
              <w:tabs>
                <w:tab w:val="left" w:pos="321"/>
              </w:tabs>
              <w:spacing w:before="100"/>
              <w:ind w:left="320"/>
              <w:rPr>
                <w:sz w:val="21"/>
              </w:rPr>
            </w:pPr>
            <w:r>
              <w:rPr>
                <w:spacing w:val="-6"/>
                <w:sz w:val="21"/>
              </w:rPr>
              <w:t xml:space="preserve">严禁在赤水河、乌江、清水江干流及主要支流岸线 </w:t>
            </w:r>
            <w:r>
              <w:rPr>
                <w:sz w:val="21"/>
              </w:rPr>
              <w:t>1km</w:t>
            </w:r>
            <w:r>
              <w:rPr>
                <w:spacing w:val="-9"/>
                <w:sz w:val="21"/>
              </w:rPr>
              <w:t xml:space="preserve"> 范围内新建布局重化工园区。</w:t>
            </w:r>
          </w:p>
        </w:tc>
        <w:tc>
          <w:tcPr>
            <w:tcW w:w="3651" w:type="dxa"/>
            <w:vMerge w:val="restart"/>
            <w:tcBorders>
              <w:bottom w:val="single" w:color="000000" w:sz="4" w:space="0"/>
            </w:tcBorders>
          </w:tcPr>
          <w:p>
            <w:pPr>
              <w:pStyle w:val="12"/>
              <w:rPr>
                <w:b/>
                <w:sz w:val="21"/>
              </w:rPr>
            </w:pPr>
          </w:p>
          <w:p>
            <w:pPr>
              <w:pStyle w:val="12"/>
              <w:spacing w:line="242" w:lineRule="auto"/>
              <w:ind w:left="107" w:right="96"/>
              <w:rPr>
                <w:sz w:val="21"/>
              </w:rPr>
            </w:pPr>
            <w:r>
              <w:rPr>
                <w:spacing w:val="-3"/>
                <w:sz w:val="21"/>
              </w:rPr>
              <w:t>《贵州省全面推行河长制总体工作方</w:t>
            </w:r>
            <w:r>
              <w:rPr>
                <w:spacing w:val="-14"/>
                <w:sz w:val="21"/>
              </w:rPr>
              <w:t>案》《关于印发进一步加强重点区域流</w:t>
            </w:r>
            <w:r>
              <w:rPr>
                <w:spacing w:val="-3"/>
                <w:sz w:val="21"/>
              </w:rPr>
              <w:t>域环境影响评价管理工作的通知</w:t>
            </w:r>
            <w:r>
              <w:rPr>
                <w:spacing w:val="-50"/>
                <w:sz w:val="21"/>
              </w:rPr>
              <w:t>》《关</w:t>
            </w:r>
            <w:r>
              <w:rPr>
                <w:spacing w:val="-3"/>
                <w:sz w:val="21"/>
              </w:rPr>
              <w:t>于加强长江黄金水道环境污染防控治理工作方案的通知</w:t>
            </w:r>
            <w:r>
              <w:rPr>
                <w:spacing w:val="-20"/>
                <w:sz w:val="21"/>
              </w:rPr>
              <w:t>》《长江保护修复攻</w:t>
            </w:r>
            <w:r>
              <w:rPr>
                <w:spacing w:val="-2"/>
                <w:sz w:val="21"/>
              </w:rPr>
              <w:t>坚战行动计划</w:t>
            </w:r>
            <w:r>
              <w:rPr>
                <w:spacing w:val="-18"/>
                <w:sz w:val="21"/>
              </w:rPr>
              <w:t>》《贵州省长江保护修复</w:t>
            </w:r>
            <w:r>
              <w:rPr>
                <w:spacing w:val="-16"/>
                <w:sz w:val="21"/>
              </w:rPr>
              <w:t>攻坚战行动计划》、《贵州省长江经济</w:t>
            </w:r>
            <w:r>
              <w:rPr>
                <w:spacing w:val="-7"/>
                <w:sz w:val="21"/>
              </w:rPr>
              <w:t>带沿江化工产业污染防治工作方案》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tcBorders>
          </w:tcPr>
          <w:p>
            <w:pPr>
              <w:pStyle w:val="12"/>
              <w:rPr>
                <w:rFonts w:ascii="Times New Roman"/>
                <w:sz w:val="20"/>
              </w:rPr>
            </w:pPr>
          </w:p>
        </w:tc>
        <w:tc>
          <w:tcPr>
            <w:tcW w:w="14846" w:type="dxa"/>
            <w:tcBorders>
              <w:top w:val="nil"/>
            </w:tcBorders>
          </w:tcPr>
          <w:p>
            <w:pPr>
              <w:pStyle w:val="12"/>
              <w:spacing w:line="248" w:lineRule="exact"/>
              <w:ind w:left="108"/>
              <w:rPr>
                <w:sz w:val="21"/>
              </w:rPr>
            </w:pPr>
            <w:r>
              <w:rPr>
                <w:sz w:val="21"/>
              </w:rPr>
              <w:t>3.岸线资源内的水产种质资源保护区重叠的按照生态保护要求管控</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left w:val="single" w:color="000000" w:sz="4" w:space="0"/>
              <w:bottom w:val="nil"/>
            </w:tcBorders>
          </w:tcPr>
          <w:p>
            <w:pPr>
              <w:pStyle w:val="12"/>
              <w:spacing w:before="7"/>
              <w:rPr>
                <w:b/>
                <w:sz w:val="15"/>
              </w:rPr>
            </w:pPr>
          </w:p>
          <w:p>
            <w:pPr>
              <w:pStyle w:val="12"/>
              <w:spacing w:line="270" w:lineRule="atLeast"/>
              <w:ind w:left="105" w:right="110"/>
              <w:rPr>
                <w:sz w:val="21"/>
              </w:rPr>
            </w:pPr>
            <w:r>
              <w:rPr>
                <w:sz w:val="21"/>
              </w:rPr>
              <w:t>限制开发建设活动</w:t>
            </w:r>
          </w:p>
        </w:tc>
        <w:tc>
          <w:tcPr>
            <w:tcW w:w="14846" w:type="dxa"/>
            <w:tcBorders>
              <w:bottom w:val="nil"/>
            </w:tcBorders>
          </w:tcPr>
          <w:p>
            <w:pPr>
              <w:pStyle w:val="12"/>
              <w:numPr>
                <w:ilvl w:val="0"/>
                <w:numId w:val="36"/>
              </w:numPr>
              <w:tabs>
                <w:tab w:val="left" w:pos="321"/>
              </w:tabs>
              <w:spacing w:before="99"/>
              <w:rPr>
                <w:sz w:val="21"/>
              </w:rPr>
            </w:pPr>
            <w:r>
              <w:rPr>
                <w:spacing w:val="-3"/>
                <w:sz w:val="21"/>
              </w:rPr>
              <w:t>严格管控新建石油化工和煤化工等重大环境风险隐患项目。</w:t>
            </w:r>
          </w:p>
          <w:p>
            <w:pPr>
              <w:pStyle w:val="12"/>
              <w:numPr>
                <w:ilvl w:val="0"/>
                <w:numId w:val="36"/>
              </w:numPr>
              <w:tabs>
                <w:tab w:val="left" w:pos="321"/>
              </w:tabs>
              <w:spacing w:before="103" w:line="246" w:lineRule="exact"/>
              <w:rPr>
                <w:sz w:val="21"/>
              </w:rPr>
            </w:pPr>
            <w:r>
              <w:rPr>
                <w:spacing w:val="-3"/>
                <w:sz w:val="21"/>
              </w:rPr>
              <w:t>严控江、河沿岸地区新建石油化工和煤化工项目。</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tcBorders>
          </w:tcPr>
          <w:p>
            <w:pPr>
              <w:pStyle w:val="12"/>
              <w:spacing w:line="265" w:lineRule="exact"/>
              <w:ind w:left="105"/>
              <w:rPr>
                <w:sz w:val="21"/>
              </w:rPr>
            </w:pPr>
            <w:r>
              <w:rPr>
                <w:sz w:val="21"/>
              </w:rPr>
              <w:t>的要求</w:t>
            </w:r>
          </w:p>
        </w:tc>
        <w:tc>
          <w:tcPr>
            <w:tcW w:w="14846" w:type="dxa"/>
            <w:tcBorders>
              <w:top w:val="nil"/>
            </w:tcBorders>
          </w:tcPr>
          <w:p>
            <w:pPr>
              <w:pStyle w:val="12"/>
              <w:spacing w:before="97"/>
              <w:ind w:left="108"/>
              <w:rPr>
                <w:sz w:val="21"/>
              </w:rPr>
            </w:pPr>
            <w:r>
              <w:rPr>
                <w:sz w:val="21"/>
              </w:rPr>
              <w:t>3.水产种质资源保护区重叠的岸线资源按照生态保护要求管控。</w:t>
            </w:r>
          </w:p>
        </w:tc>
        <w:tc>
          <w:tcPr>
            <w:tcW w:w="3651" w:type="dxa"/>
            <w:vMerge w:val="continue"/>
            <w:tcBorders>
              <w:top w:val="nil"/>
              <w:bottom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left w:val="single" w:color="000000" w:sz="4" w:space="0"/>
              <w:bottom w:val="nil"/>
            </w:tcBorders>
          </w:tcPr>
          <w:p>
            <w:pPr>
              <w:pStyle w:val="12"/>
              <w:rPr>
                <w:rFonts w:ascii="Times New Roman"/>
                <w:sz w:val="20"/>
              </w:rPr>
            </w:pPr>
          </w:p>
        </w:tc>
        <w:tc>
          <w:tcPr>
            <w:tcW w:w="14846" w:type="dxa"/>
            <w:tcBorders>
              <w:bottom w:val="nil"/>
            </w:tcBorders>
          </w:tcPr>
          <w:p>
            <w:pPr>
              <w:pStyle w:val="12"/>
              <w:spacing w:before="103" w:line="270" w:lineRule="atLeast"/>
              <w:ind w:left="108" w:right="95"/>
              <w:jc w:val="both"/>
              <w:rPr>
                <w:sz w:val="21"/>
              </w:rPr>
            </w:pPr>
            <w:r>
              <w:rPr>
                <w:sz w:val="21"/>
              </w:rPr>
              <w:t>1.</w:t>
            </w:r>
            <w:r>
              <w:rPr>
                <w:spacing w:val="-8"/>
                <w:sz w:val="21"/>
              </w:rPr>
              <w:t>保障防洪安全和河势稳定划定的保护区，禁止建设可能影响防洪安全，河势稳定及分蓄洪区正常运用的建设项目；保障供水安全划定的，禁止新建、扩建与供</w:t>
            </w:r>
            <w:r>
              <w:rPr>
                <w:spacing w:val="-10"/>
                <w:sz w:val="21"/>
              </w:rPr>
              <w:t>水设施和保护水源无关的建设项目；保护生态环境划定的，自然保护区核心区内的岸线保护区不得建设任何生产设施；风景名胜区内的，禁止建设违反风景名胜</w:t>
            </w:r>
            <w:r>
              <w:rPr>
                <w:spacing w:val="-9"/>
                <w:sz w:val="21"/>
              </w:rPr>
              <w:t>区规划以及与风景名胜资源保护无关的项目，除基本生活供水设施除外；水产种质资源保护区内的岸线保护区，禁止围垦和建设排污口；湿地范围内的岸线保护</w:t>
            </w:r>
          </w:p>
        </w:tc>
        <w:tc>
          <w:tcPr>
            <w:tcW w:w="3651" w:type="dxa"/>
            <w:tcBorders>
              <w:top w:val="single" w:color="000000" w:sz="4" w:space="0"/>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20"/>
              </w:rPr>
            </w:pPr>
          </w:p>
        </w:tc>
        <w:tc>
          <w:tcPr>
            <w:tcW w:w="14846" w:type="dxa"/>
            <w:tcBorders>
              <w:top w:val="nil"/>
              <w:bottom w:val="nil"/>
            </w:tcBorders>
          </w:tcPr>
          <w:p>
            <w:pPr>
              <w:pStyle w:val="12"/>
              <w:ind w:left="108"/>
              <w:rPr>
                <w:sz w:val="21"/>
              </w:rPr>
            </w:pPr>
            <w:r>
              <w:rPr>
                <w:sz w:val="21"/>
              </w:rPr>
              <w:t>区禁止建设破坏湿地及其生态功能的项目。</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20"/>
              </w:rPr>
            </w:pPr>
          </w:p>
        </w:tc>
        <w:tc>
          <w:tcPr>
            <w:tcW w:w="14846" w:type="dxa"/>
            <w:tcBorders>
              <w:top w:val="nil"/>
              <w:bottom w:val="nil"/>
            </w:tcBorders>
          </w:tcPr>
          <w:p>
            <w:pPr>
              <w:pStyle w:val="12"/>
              <w:spacing w:before="49"/>
              <w:ind w:left="108"/>
              <w:rPr>
                <w:sz w:val="21"/>
              </w:rPr>
            </w:pPr>
            <w:r>
              <w:rPr>
                <w:sz w:val="21"/>
              </w:rPr>
              <w:t>2.根据国家、省级自然保护区及水产种质资源保护区管理要求而划定的岸线保护区，原则上禁止建设与保护目标不一致的生产设施。</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20"/>
              </w:rPr>
            </w:pPr>
          </w:p>
        </w:tc>
        <w:tc>
          <w:tcPr>
            <w:tcW w:w="14846" w:type="dxa"/>
            <w:tcBorders>
              <w:top w:val="nil"/>
              <w:bottom w:val="nil"/>
            </w:tcBorders>
          </w:tcPr>
          <w:p>
            <w:pPr>
              <w:pStyle w:val="12"/>
              <w:spacing w:before="49" w:line="248" w:lineRule="exact"/>
              <w:ind w:left="108"/>
              <w:rPr>
                <w:sz w:val="21"/>
              </w:rPr>
            </w:pPr>
            <w:r>
              <w:rPr>
                <w:sz w:val="21"/>
              </w:rPr>
              <w:t>3.岸线保护区应根据保护目标有针对性地进行管理，严格按照相关法律法规的规定，规划期内禁止建设可能影响保护目标实现的建设项目。</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spacing w:before="1"/>
              <w:rPr>
                <w:b/>
                <w:sz w:val="25"/>
              </w:rPr>
            </w:pPr>
          </w:p>
          <w:p>
            <w:pPr>
              <w:pStyle w:val="12"/>
              <w:spacing w:line="242" w:lineRule="auto"/>
              <w:ind w:left="105" w:right="110"/>
              <w:rPr>
                <w:sz w:val="21"/>
              </w:rPr>
            </w:pPr>
            <w:r>
              <w:rPr>
                <w:sz w:val="21"/>
              </w:rPr>
              <w:t>岸线保护区</w:t>
            </w:r>
          </w:p>
        </w:tc>
        <w:tc>
          <w:tcPr>
            <w:tcW w:w="14846" w:type="dxa"/>
            <w:tcBorders>
              <w:top w:val="nil"/>
              <w:bottom w:val="nil"/>
            </w:tcBorders>
          </w:tcPr>
          <w:p>
            <w:pPr>
              <w:pStyle w:val="12"/>
              <w:spacing w:before="98"/>
              <w:ind w:left="108"/>
              <w:rPr>
                <w:sz w:val="21"/>
              </w:rPr>
            </w:pPr>
            <w:r>
              <w:rPr>
                <w:sz w:val="21"/>
              </w:rPr>
              <w:t>4.</w:t>
            </w:r>
            <w:r>
              <w:rPr>
                <w:spacing w:val="-8"/>
                <w:sz w:val="21"/>
              </w:rPr>
              <w:t>水源保护区河段岸线禁止新建、扩建与供水设施和保护水源无关的建设项目，严禁进行有碍防洪安全、供水安全和流域生态环境安全等的开发利用活动；不得</w:t>
            </w:r>
          </w:p>
          <w:p>
            <w:pPr>
              <w:pStyle w:val="12"/>
              <w:spacing w:before="4" w:line="270" w:lineRule="atLeast"/>
              <w:ind w:left="108" w:right="98"/>
              <w:rPr>
                <w:sz w:val="21"/>
              </w:rPr>
            </w:pPr>
            <w:r>
              <w:rPr>
                <w:spacing w:val="-9"/>
                <w:sz w:val="21"/>
              </w:rPr>
              <w:t>设置与供水需要无关的码头，禁止停靠船舶；禁止可能污染水源的旅游活动和其他活动。自然保护区河段岸线严禁进行有碍防洪安全、供水安全流、域生态环境安全和珍稀动植物生存环境等的开发利用活动。水文测验保护河段一般情况下禁止建设影响水文测验工作的设施，确实需要修建的，经论证满足河段总体管理要</w:t>
            </w:r>
          </w:p>
        </w:tc>
        <w:tc>
          <w:tcPr>
            <w:tcW w:w="3651" w:type="dxa"/>
            <w:tcBorders>
              <w:top w:val="nil"/>
              <w:bottom w:val="nil"/>
            </w:tcBorders>
          </w:tcPr>
          <w:p>
            <w:pPr>
              <w:pStyle w:val="12"/>
              <w:numPr>
                <w:ilvl w:val="0"/>
                <w:numId w:val="37"/>
              </w:numPr>
              <w:tabs>
                <w:tab w:val="left" w:pos="320"/>
              </w:tabs>
              <w:spacing w:line="242" w:lineRule="auto"/>
              <w:ind w:right="171" w:firstLine="0"/>
              <w:rPr>
                <w:sz w:val="21"/>
              </w:rPr>
            </w:pPr>
            <w:r>
              <w:rPr>
                <w:spacing w:val="-3"/>
                <w:sz w:val="21"/>
              </w:rPr>
              <w:t>《全国河道（</w:t>
            </w:r>
            <w:r>
              <w:rPr>
                <w:spacing w:val="-2"/>
                <w:sz w:val="21"/>
              </w:rPr>
              <w:t>湖泊</w:t>
            </w:r>
            <w:r>
              <w:rPr>
                <w:sz w:val="21"/>
              </w:rPr>
              <w:t>）</w:t>
            </w:r>
            <w:r>
              <w:rPr>
                <w:spacing w:val="-5"/>
                <w:sz w:val="21"/>
              </w:rPr>
              <w:t>岸线利用管理</w:t>
            </w:r>
            <w:r>
              <w:rPr>
                <w:spacing w:val="-16"/>
                <w:sz w:val="21"/>
              </w:rPr>
              <w:t>规划技术细则》；</w:t>
            </w:r>
          </w:p>
          <w:p>
            <w:pPr>
              <w:pStyle w:val="12"/>
              <w:numPr>
                <w:ilvl w:val="0"/>
                <w:numId w:val="37"/>
              </w:numPr>
              <w:tabs>
                <w:tab w:val="left" w:pos="320"/>
              </w:tabs>
              <w:spacing w:before="100" w:line="249" w:lineRule="exact"/>
              <w:ind w:left="319"/>
              <w:rPr>
                <w:sz w:val="21"/>
              </w:rPr>
            </w:pPr>
            <w:r>
              <w:rPr>
                <w:spacing w:val="-3"/>
                <w:sz w:val="21"/>
              </w:rPr>
              <w:t>《乌江流域岸线利用规划》等贵州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20"/>
              </w:rPr>
            </w:pPr>
          </w:p>
        </w:tc>
        <w:tc>
          <w:tcPr>
            <w:tcW w:w="14846" w:type="dxa"/>
            <w:tcBorders>
              <w:top w:val="nil"/>
              <w:bottom w:val="nil"/>
            </w:tcBorders>
          </w:tcPr>
          <w:p>
            <w:pPr>
              <w:pStyle w:val="12"/>
              <w:ind w:left="108"/>
              <w:rPr>
                <w:sz w:val="21"/>
              </w:rPr>
            </w:pPr>
            <w:r>
              <w:rPr>
                <w:sz w:val="21"/>
              </w:rPr>
              <w:t>求，采取相应的补救措施后可建设。</w:t>
            </w:r>
          </w:p>
          <w:p>
            <w:pPr>
              <w:pStyle w:val="12"/>
              <w:spacing w:before="2" w:line="248" w:lineRule="exact"/>
              <w:ind w:left="108"/>
              <w:rPr>
                <w:sz w:val="21"/>
              </w:rPr>
            </w:pPr>
            <w:r>
              <w:rPr>
                <w:sz w:val="21"/>
              </w:rPr>
              <w:t>5.在保护区内，可依照防洪规划、河道治理规划、取水口布局规划等，建设必要的防洪、河势控制工程及取水设施等。</w:t>
            </w:r>
          </w:p>
        </w:tc>
        <w:tc>
          <w:tcPr>
            <w:tcW w:w="3651" w:type="dxa"/>
            <w:tcBorders>
              <w:top w:val="nil"/>
              <w:bottom w:val="nil"/>
            </w:tcBorders>
          </w:tcPr>
          <w:p>
            <w:pPr>
              <w:pStyle w:val="12"/>
              <w:ind w:left="107"/>
              <w:rPr>
                <w:sz w:val="21"/>
              </w:rPr>
            </w:pPr>
            <w:r>
              <w:rPr>
                <w:spacing w:val="-14"/>
                <w:sz w:val="21"/>
              </w:rPr>
              <w:t xml:space="preserve">省省管 </w:t>
            </w:r>
            <w:r>
              <w:rPr>
                <w:sz w:val="21"/>
              </w:rPr>
              <w:t>14</w:t>
            </w:r>
            <w:r>
              <w:rPr>
                <w:spacing w:val="-8"/>
                <w:sz w:val="21"/>
              </w:rPr>
              <w:t xml:space="preserve"> 条河流岸线利用管控规划。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054" w:type="dxa"/>
            <w:tcBorders>
              <w:top w:val="nil"/>
              <w:bottom w:val="nil"/>
            </w:tcBorders>
          </w:tcPr>
          <w:p>
            <w:pPr>
              <w:pStyle w:val="12"/>
              <w:rPr>
                <w:rFonts w:ascii="Times New Roman"/>
                <w:sz w:val="16"/>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16"/>
              </w:rPr>
            </w:pPr>
          </w:p>
        </w:tc>
        <w:tc>
          <w:tcPr>
            <w:tcW w:w="14846" w:type="dxa"/>
            <w:tcBorders>
              <w:top w:val="nil"/>
              <w:bottom w:val="nil"/>
            </w:tcBorders>
          </w:tcPr>
          <w:p>
            <w:pPr>
              <w:pStyle w:val="12"/>
              <w:spacing w:line="222" w:lineRule="exact"/>
              <w:ind w:left="108"/>
              <w:rPr>
                <w:sz w:val="21"/>
              </w:rPr>
            </w:pPr>
            <w:r>
              <w:rPr>
                <w:sz w:val="21"/>
              </w:rPr>
              <w:t>6.根据通航安全和其他公共管理的需要，可建设防汛、航道、海事、渔业等公共管理码头及设施。</w:t>
            </w:r>
          </w:p>
        </w:tc>
        <w:tc>
          <w:tcPr>
            <w:tcW w:w="3651" w:type="dxa"/>
            <w:tcBorders>
              <w:top w:val="nil"/>
              <w:bottom w:val="nil"/>
            </w:tcBorders>
          </w:tcPr>
          <w:p>
            <w:pPr>
              <w:pStyle w:val="12"/>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54" w:type="dxa"/>
            <w:tcBorders>
              <w:top w:val="nil"/>
              <w:bottom w:val="nil"/>
            </w:tcBorders>
          </w:tcPr>
          <w:p>
            <w:pPr>
              <w:pStyle w:val="12"/>
              <w:spacing w:line="243" w:lineRule="exact"/>
              <w:ind w:left="211"/>
              <w:rPr>
                <w:sz w:val="21"/>
              </w:rPr>
            </w:pPr>
            <w:r>
              <w:rPr>
                <w:sz w:val="21"/>
              </w:rPr>
              <w:t>资源利</w:t>
            </w:r>
          </w:p>
          <w:p>
            <w:pPr>
              <w:pStyle w:val="12"/>
              <w:spacing w:before="2"/>
              <w:ind w:left="211"/>
              <w:rPr>
                <w:sz w:val="21"/>
              </w:rPr>
            </w:pPr>
            <w:r>
              <w:rPr>
                <w:sz w:val="21"/>
              </w:rPr>
              <w:t>用效率</w:t>
            </w: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20"/>
              </w:rPr>
            </w:pPr>
          </w:p>
        </w:tc>
        <w:tc>
          <w:tcPr>
            <w:tcW w:w="14846" w:type="dxa"/>
            <w:tcBorders>
              <w:top w:val="nil"/>
              <w:bottom w:val="nil"/>
            </w:tcBorders>
          </w:tcPr>
          <w:p>
            <w:pPr>
              <w:pStyle w:val="12"/>
              <w:spacing w:before="125" w:line="242" w:lineRule="auto"/>
              <w:ind w:left="108" w:right="97"/>
              <w:rPr>
                <w:sz w:val="21"/>
              </w:rPr>
            </w:pPr>
            <w:r>
              <w:rPr>
                <w:sz w:val="21"/>
              </w:rPr>
              <w:t>7.</w:t>
            </w:r>
            <w:r>
              <w:rPr>
                <w:spacing w:val="-9"/>
                <w:sz w:val="21"/>
              </w:rPr>
              <w:t>经深入分析论证对防洪安全、河势稳定、供水安全、水生态环境保护基本无影响的前提下，经省人民政府同意，可建设跨</w:t>
            </w:r>
            <w:r>
              <w:rPr>
                <w:spacing w:val="-3"/>
                <w:sz w:val="21"/>
              </w:rPr>
              <w:t>（</w:t>
            </w:r>
            <w:r>
              <w:rPr>
                <w:sz w:val="21"/>
              </w:rPr>
              <w:t>穿</w:t>
            </w:r>
            <w:r>
              <w:rPr>
                <w:spacing w:val="-10"/>
                <w:sz w:val="21"/>
              </w:rPr>
              <w:t>）</w:t>
            </w:r>
            <w:r>
              <w:rPr>
                <w:spacing w:val="-4"/>
                <w:sz w:val="21"/>
              </w:rPr>
              <w:t>江设施</w:t>
            </w:r>
            <w:r>
              <w:rPr>
                <w:spacing w:val="-3"/>
                <w:sz w:val="21"/>
              </w:rPr>
              <w:t>（</w:t>
            </w:r>
            <w:r>
              <w:rPr>
                <w:spacing w:val="-5"/>
                <w:sz w:val="21"/>
              </w:rPr>
              <w:t>如桥梁、隧道、过江管线</w:t>
            </w:r>
            <w:r>
              <w:rPr>
                <w:spacing w:val="-3"/>
                <w:sz w:val="21"/>
              </w:rPr>
              <w:t>）</w:t>
            </w:r>
            <w:r>
              <w:rPr>
                <w:spacing w:val="-2"/>
                <w:sz w:val="21"/>
              </w:rPr>
              <w:t>等工程。</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bottom w:val="nil"/>
            </w:tcBorders>
          </w:tcPr>
          <w:p>
            <w:pPr>
              <w:pStyle w:val="12"/>
              <w:rPr>
                <w:rFonts w:ascii="Times New Roman"/>
                <w:sz w:val="20"/>
              </w:rPr>
            </w:pPr>
          </w:p>
        </w:tc>
        <w:tc>
          <w:tcPr>
            <w:tcW w:w="14846" w:type="dxa"/>
            <w:tcBorders>
              <w:top w:val="nil"/>
              <w:bottom w:val="nil"/>
            </w:tcBorders>
          </w:tcPr>
          <w:p>
            <w:pPr>
              <w:pStyle w:val="12"/>
              <w:spacing w:before="49" w:line="248" w:lineRule="exact"/>
              <w:ind w:left="108"/>
              <w:rPr>
                <w:sz w:val="21"/>
              </w:rPr>
            </w:pPr>
            <w:r>
              <w:rPr>
                <w:sz w:val="21"/>
              </w:rPr>
              <w:t>8.按照相关规划在岸线保护区内必须实施的防洪护岸、河道治理、供水、航道整治、国家重要基础设施等事关公共安全及公众利益的建设项目，须经充分论证并</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54" w:type="dxa"/>
            <w:tcBorders>
              <w:top w:val="nil"/>
              <w:bottom w:val="nil"/>
            </w:tcBorders>
          </w:tcPr>
          <w:p>
            <w:pPr>
              <w:pStyle w:val="12"/>
              <w:rPr>
                <w:rFonts w:ascii="Times New Roman"/>
                <w:sz w:val="20"/>
              </w:rPr>
            </w:pPr>
          </w:p>
        </w:tc>
        <w:tc>
          <w:tcPr>
            <w:tcW w:w="583" w:type="dxa"/>
            <w:vMerge w:val="continue"/>
            <w:tcBorders>
              <w:top w:val="nil"/>
              <w:right w:val="single" w:color="000000" w:sz="4" w:space="0"/>
            </w:tcBorders>
          </w:tcPr>
          <w:p>
            <w:pPr>
              <w:rPr>
                <w:sz w:val="2"/>
                <w:szCs w:val="2"/>
              </w:rPr>
            </w:pPr>
          </w:p>
        </w:tc>
        <w:tc>
          <w:tcPr>
            <w:tcW w:w="1068" w:type="dxa"/>
            <w:tcBorders>
              <w:top w:val="nil"/>
              <w:left w:val="single" w:color="000000" w:sz="4" w:space="0"/>
            </w:tcBorders>
          </w:tcPr>
          <w:p>
            <w:pPr>
              <w:pStyle w:val="12"/>
              <w:rPr>
                <w:rFonts w:ascii="Times New Roman"/>
                <w:sz w:val="20"/>
              </w:rPr>
            </w:pPr>
          </w:p>
        </w:tc>
        <w:tc>
          <w:tcPr>
            <w:tcW w:w="14846" w:type="dxa"/>
            <w:tcBorders>
              <w:top w:val="nil"/>
            </w:tcBorders>
          </w:tcPr>
          <w:p>
            <w:pPr>
              <w:pStyle w:val="12"/>
              <w:ind w:left="108"/>
              <w:rPr>
                <w:sz w:val="21"/>
              </w:rPr>
            </w:pPr>
            <w:r>
              <w:rPr>
                <w:sz w:val="21"/>
              </w:rPr>
              <w:t>经省人民政府同意后，严格按照法律法规要求履行相关许可程序。</w:t>
            </w:r>
          </w:p>
        </w:tc>
        <w:tc>
          <w:tcPr>
            <w:tcW w:w="3651" w:type="dxa"/>
            <w:tcBorders>
              <w:top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54" w:type="dxa"/>
            <w:tcBorders>
              <w:top w:val="nil"/>
              <w:bottom w:val="nil"/>
            </w:tcBorders>
          </w:tcPr>
          <w:p>
            <w:pPr>
              <w:pStyle w:val="12"/>
              <w:rPr>
                <w:rFonts w:ascii="Times New Roman"/>
                <w:sz w:val="20"/>
              </w:rPr>
            </w:pPr>
          </w:p>
        </w:tc>
        <w:tc>
          <w:tcPr>
            <w:tcW w:w="583"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29"/>
              </w:rPr>
            </w:pPr>
          </w:p>
          <w:p>
            <w:pPr>
              <w:pStyle w:val="12"/>
              <w:spacing w:line="242" w:lineRule="auto"/>
              <w:ind w:left="184" w:right="180"/>
              <w:jc w:val="both"/>
              <w:rPr>
                <w:sz w:val="21"/>
              </w:rPr>
            </w:pPr>
            <w:r>
              <w:rPr>
                <w:sz w:val="21"/>
              </w:rPr>
              <w:t>岸线资源</w:t>
            </w:r>
          </w:p>
        </w:tc>
        <w:tc>
          <w:tcPr>
            <w:tcW w:w="1068" w:type="dxa"/>
            <w:tcBorders>
              <w:bottom w:val="nil"/>
            </w:tcBorders>
          </w:tcPr>
          <w:p>
            <w:pPr>
              <w:pStyle w:val="12"/>
              <w:rPr>
                <w:rFonts w:ascii="Times New Roman"/>
                <w:sz w:val="20"/>
              </w:rPr>
            </w:pPr>
          </w:p>
        </w:tc>
        <w:tc>
          <w:tcPr>
            <w:tcW w:w="14846" w:type="dxa"/>
            <w:tcBorders>
              <w:bottom w:val="nil"/>
            </w:tcBorders>
          </w:tcPr>
          <w:p>
            <w:pPr>
              <w:pStyle w:val="12"/>
              <w:spacing w:before="101" w:line="270" w:lineRule="atLeast"/>
              <w:ind w:left="108" w:right="96"/>
              <w:rPr>
                <w:sz w:val="21"/>
              </w:rPr>
            </w:pPr>
            <w:r>
              <w:rPr>
                <w:sz w:val="21"/>
              </w:rPr>
              <w:t>1.</w:t>
            </w:r>
            <w:r>
              <w:rPr>
                <w:spacing w:val="-7"/>
                <w:sz w:val="21"/>
              </w:rPr>
              <w:t>为生态环境保护划定的,自然保护区缓冲区，实验区,水产种质资源保护区,国家湿地公园等生态敏感区等,自然保护区缓冲区内划定的岸线保留区不得建设任何</w:t>
            </w:r>
            <w:r>
              <w:rPr>
                <w:spacing w:val="-4"/>
                <w:sz w:val="21"/>
              </w:rPr>
              <w:t>生产设施。</w:t>
            </w:r>
          </w:p>
        </w:tc>
        <w:tc>
          <w:tcPr>
            <w:tcW w:w="3651" w:type="dxa"/>
            <w:tcBorders>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spacing w:before="8"/>
              <w:rPr>
                <w:b/>
                <w:sz w:val="14"/>
              </w:rPr>
            </w:pPr>
          </w:p>
          <w:p>
            <w:pPr>
              <w:pStyle w:val="12"/>
              <w:spacing w:line="242" w:lineRule="auto"/>
              <w:ind w:left="108" w:right="110"/>
              <w:rPr>
                <w:sz w:val="21"/>
              </w:rPr>
            </w:pPr>
            <w:r>
              <w:rPr>
                <w:sz w:val="21"/>
              </w:rPr>
              <w:t>岸线保留区</w:t>
            </w:r>
          </w:p>
        </w:tc>
        <w:tc>
          <w:tcPr>
            <w:tcW w:w="14846" w:type="dxa"/>
            <w:tcBorders>
              <w:top w:val="nil"/>
              <w:bottom w:val="nil"/>
            </w:tcBorders>
          </w:tcPr>
          <w:p>
            <w:pPr>
              <w:pStyle w:val="12"/>
              <w:numPr>
                <w:ilvl w:val="0"/>
                <w:numId w:val="38"/>
              </w:numPr>
              <w:tabs>
                <w:tab w:val="left" w:pos="321"/>
              </w:tabs>
              <w:rPr>
                <w:sz w:val="21"/>
              </w:rPr>
            </w:pPr>
            <w:r>
              <w:rPr>
                <w:spacing w:val="-3"/>
                <w:sz w:val="21"/>
              </w:rPr>
              <w:t>自然保护区实验区内划定的岸线保留区不得建设污染环境，破坏资源的生产设施，建设其他项目，其污染物排放不得超过国家和地方规定的污染物排放标准。</w:t>
            </w:r>
          </w:p>
          <w:p>
            <w:pPr>
              <w:pStyle w:val="12"/>
              <w:numPr>
                <w:ilvl w:val="0"/>
                <w:numId w:val="38"/>
              </w:numPr>
              <w:tabs>
                <w:tab w:val="left" w:pos="321"/>
              </w:tabs>
              <w:spacing w:before="2"/>
              <w:rPr>
                <w:sz w:val="21"/>
              </w:rPr>
            </w:pPr>
            <w:r>
              <w:rPr>
                <w:spacing w:val="-3"/>
                <w:sz w:val="21"/>
              </w:rPr>
              <w:t>饮用水水源二级保护区内的岸线保留区禁止建设排放污染物的建设项目：水产种质资源保护区内的岸线保留区禁止围垦和建设排污口。</w:t>
            </w:r>
          </w:p>
          <w:p>
            <w:pPr>
              <w:pStyle w:val="12"/>
              <w:numPr>
                <w:ilvl w:val="0"/>
                <w:numId w:val="38"/>
              </w:numPr>
              <w:tabs>
                <w:tab w:val="left" w:pos="321"/>
              </w:tabs>
              <w:spacing w:before="5" w:line="242" w:lineRule="auto"/>
              <w:ind w:left="108" w:right="23" w:firstLine="0"/>
              <w:rPr>
                <w:sz w:val="21"/>
              </w:rPr>
            </w:pPr>
            <w:r>
              <w:rPr>
                <w:spacing w:val="-3"/>
                <w:sz w:val="21"/>
              </w:rPr>
              <w:t>国家湿地公园等生态敏感区内的岸线保留区禁止建设影响其保护目标的项目。为满足生活生态岸线开发需要划定的，除建设生态公园，江滩风光带等项目外， 不得建设其他生产设施。</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before="49" w:line="257" w:lineRule="exact"/>
              <w:ind w:left="108"/>
              <w:rPr>
                <w:sz w:val="21"/>
              </w:rPr>
            </w:pPr>
            <w:r>
              <w:rPr>
                <w:sz w:val="21"/>
              </w:rPr>
              <w:t>5.岸线保留区经深入分析论证对防洪安全、河势稳定、供水安全、水生态环境保护基本无影响的前提下，可建设重要基础设施和改善民生环境的工程等。</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1054" w:type="dxa"/>
            <w:vMerge w:val="restart"/>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tcBorders>
          </w:tcPr>
          <w:p>
            <w:pPr>
              <w:pStyle w:val="12"/>
              <w:rPr>
                <w:rFonts w:ascii="Times New Roman"/>
                <w:sz w:val="4"/>
              </w:rPr>
            </w:pPr>
          </w:p>
        </w:tc>
        <w:tc>
          <w:tcPr>
            <w:tcW w:w="14846" w:type="dxa"/>
            <w:tcBorders>
              <w:top w:val="nil"/>
            </w:tcBorders>
          </w:tcPr>
          <w:p>
            <w:pPr>
              <w:pStyle w:val="12"/>
              <w:rPr>
                <w:rFonts w:ascii="Times New Roman"/>
                <w:sz w:val="4"/>
              </w:rPr>
            </w:pPr>
          </w:p>
        </w:tc>
        <w:tc>
          <w:tcPr>
            <w:tcW w:w="3651" w:type="dxa"/>
            <w:vMerge w:val="restart"/>
            <w:tcBorders>
              <w:top w:val="nil"/>
              <w:bottom w:val="nil"/>
            </w:tcBorders>
          </w:tcPr>
          <w:p>
            <w:pPr>
              <w:pStyle w:val="12"/>
              <w:numPr>
                <w:ilvl w:val="0"/>
                <w:numId w:val="39"/>
              </w:numPr>
              <w:tabs>
                <w:tab w:val="left" w:pos="320"/>
              </w:tabs>
              <w:spacing w:before="8" w:line="242" w:lineRule="auto"/>
              <w:ind w:right="171" w:firstLine="0"/>
              <w:rPr>
                <w:sz w:val="21"/>
              </w:rPr>
            </w:pPr>
            <w:r>
              <w:rPr>
                <w:spacing w:val="-3"/>
                <w:sz w:val="21"/>
              </w:rPr>
              <w:t>《全国河道（</w:t>
            </w:r>
            <w:r>
              <w:rPr>
                <w:spacing w:val="-2"/>
                <w:sz w:val="21"/>
              </w:rPr>
              <w:t>湖泊</w:t>
            </w:r>
            <w:r>
              <w:rPr>
                <w:sz w:val="21"/>
              </w:rPr>
              <w:t>）</w:t>
            </w:r>
            <w:r>
              <w:rPr>
                <w:spacing w:val="-5"/>
                <w:sz w:val="21"/>
              </w:rPr>
              <w:t>岸线利用管理</w:t>
            </w:r>
            <w:r>
              <w:rPr>
                <w:spacing w:val="-16"/>
                <w:sz w:val="21"/>
              </w:rPr>
              <w:t>规划技术细则》；</w:t>
            </w:r>
          </w:p>
          <w:p>
            <w:pPr>
              <w:pStyle w:val="12"/>
              <w:numPr>
                <w:ilvl w:val="0"/>
                <w:numId w:val="39"/>
              </w:numPr>
              <w:tabs>
                <w:tab w:val="left" w:pos="320"/>
              </w:tabs>
              <w:spacing w:before="100" w:line="244" w:lineRule="auto"/>
              <w:ind w:right="171" w:firstLine="0"/>
              <w:rPr>
                <w:sz w:val="21"/>
              </w:rPr>
            </w:pPr>
            <w:r>
              <w:rPr>
                <w:spacing w:val="-4"/>
                <w:sz w:val="21"/>
              </w:rPr>
              <w:t>《乌江流域岸线利用规划》等贵州</w:t>
            </w:r>
            <w:r>
              <w:rPr>
                <w:spacing w:val="-17"/>
                <w:sz w:val="21"/>
              </w:rPr>
              <w:t xml:space="preserve">省管 </w:t>
            </w:r>
            <w:r>
              <w:rPr>
                <w:sz w:val="21"/>
              </w:rPr>
              <w:t>14</w:t>
            </w:r>
            <w:r>
              <w:rPr>
                <w:spacing w:val="-9"/>
                <w:sz w:val="21"/>
              </w:rPr>
              <w:t xml:space="preserve"> 条河流岸线利用管控规划。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054" w:type="dxa"/>
            <w:vMerge w:val="continue"/>
            <w:tcBorders>
              <w:top w:val="nil"/>
              <w:bottom w:val="nil"/>
            </w:tcBorders>
          </w:tcPr>
          <w:p>
            <w:pPr>
              <w:rPr>
                <w:sz w:val="2"/>
                <w:szCs w:val="2"/>
              </w:rPr>
            </w:pPr>
          </w:p>
        </w:tc>
        <w:tc>
          <w:tcPr>
            <w:tcW w:w="583" w:type="dxa"/>
            <w:vMerge w:val="continue"/>
            <w:tcBorders>
              <w:top w:val="nil"/>
            </w:tcBorders>
          </w:tcPr>
          <w:p>
            <w:pPr>
              <w:rPr>
                <w:sz w:val="2"/>
                <w:szCs w:val="2"/>
              </w:rPr>
            </w:pPr>
          </w:p>
        </w:tc>
        <w:tc>
          <w:tcPr>
            <w:tcW w:w="1068" w:type="dxa"/>
            <w:tcBorders>
              <w:bottom w:val="nil"/>
            </w:tcBorders>
          </w:tcPr>
          <w:p>
            <w:pPr>
              <w:pStyle w:val="12"/>
              <w:rPr>
                <w:rFonts w:ascii="Times New Roman"/>
                <w:sz w:val="20"/>
              </w:rPr>
            </w:pPr>
          </w:p>
        </w:tc>
        <w:tc>
          <w:tcPr>
            <w:tcW w:w="14846" w:type="dxa"/>
            <w:tcBorders>
              <w:bottom w:val="nil"/>
            </w:tcBorders>
          </w:tcPr>
          <w:p>
            <w:pPr>
              <w:pStyle w:val="12"/>
              <w:spacing w:before="102" w:line="242" w:lineRule="auto"/>
              <w:ind w:left="108" w:right="98"/>
              <w:jc w:val="both"/>
              <w:rPr>
                <w:sz w:val="21"/>
              </w:rPr>
            </w:pPr>
            <w:r>
              <w:rPr>
                <w:sz w:val="21"/>
              </w:rPr>
              <w:t>l.</w:t>
            </w:r>
            <w:r>
              <w:rPr>
                <w:spacing w:val="-8"/>
                <w:sz w:val="21"/>
              </w:rPr>
              <w:t>水土流失严重区，禁止建设影响岸坡稳定及加重水土流失的项目；对水产种质资源保护区等生态敏感区及水源地所在岸段的岸线控制利用区，要严格按照保护</w:t>
            </w:r>
            <w:r>
              <w:rPr>
                <w:spacing w:val="-5"/>
                <w:sz w:val="21"/>
              </w:rPr>
              <w:t>要求,严禁建设可能对生态敏感区及水源地有明显不利影响的危化品码头、排污口、电厂排水口等建设项目，饮用水水源二级保护区内的岸线禁止建设排放污染</w:t>
            </w:r>
            <w:r>
              <w:rPr>
                <w:spacing w:val="-4"/>
                <w:sz w:val="21"/>
              </w:rPr>
              <w:t>物的建设项目，饮用水水源准保护区内的岸线禁止新建和扩建对水体污染严重的建设项目、改建项目不得增加排污量。</w:t>
            </w:r>
          </w:p>
          <w:p>
            <w:pPr>
              <w:pStyle w:val="12"/>
              <w:ind w:left="108"/>
              <w:rPr>
                <w:sz w:val="21"/>
              </w:rPr>
            </w:pPr>
            <w:r>
              <w:rPr>
                <w:sz w:val="21"/>
              </w:rPr>
              <w:t>2.岸线保留区内一般不得建设港口码头等生产设施。</w:t>
            </w:r>
          </w:p>
        </w:tc>
        <w:tc>
          <w:tcPr>
            <w:tcW w:w="3651" w:type="dxa"/>
            <w:vMerge w:val="continue"/>
            <w:tcBorders>
              <w:top w:val="nil"/>
              <w:bottom w:val="nil"/>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spacing w:before="100" w:line="242" w:lineRule="auto"/>
              <w:ind w:left="108" w:right="110"/>
              <w:rPr>
                <w:sz w:val="21"/>
              </w:rPr>
            </w:pPr>
            <w:r>
              <w:rPr>
                <w:sz w:val="21"/>
              </w:rPr>
              <w:t>岸线利用控制区</w:t>
            </w:r>
          </w:p>
        </w:tc>
        <w:tc>
          <w:tcPr>
            <w:tcW w:w="14846" w:type="dxa"/>
            <w:tcBorders>
              <w:top w:val="nil"/>
              <w:bottom w:val="nil"/>
            </w:tcBorders>
          </w:tcPr>
          <w:p>
            <w:pPr>
              <w:pStyle w:val="12"/>
              <w:spacing w:before="49" w:line="242" w:lineRule="auto"/>
              <w:ind w:left="108" w:right="95"/>
              <w:rPr>
                <w:sz w:val="21"/>
              </w:rPr>
            </w:pPr>
            <w:r>
              <w:rPr>
                <w:sz w:val="21"/>
              </w:rPr>
              <w:t>3.</w:t>
            </w:r>
            <w:r>
              <w:rPr>
                <w:spacing w:val="-9"/>
                <w:sz w:val="21"/>
              </w:rPr>
              <w:t>对于河势不稳定，或河道治理及河势控制方案不明确而不具备岸线开发利用条件的岸线保留区，区内建设项目不得影响防洪安全、河势稳定，不得影响后续可</w:t>
            </w:r>
            <w:r>
              <w:rPr>
                <w:spacing w:val="-5"/>
                <w:sz w:val="21"/>
              </w:rPr>
              <w:t>能的河势控制工程的实施。</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before="24" w:line="249" w:lineRule="exact"/>
              <w:ind w:left="108"/>
              <w:rPr>
                <w:sz w:val="21"/>
              </w:rPr>
            </w:pPr>
            <w:r>
              <w:rPr>
                <w:sz w:val="21"/>
              </w:rPr>
              <w:t>4.岸线控制利用区：20 年一遇洪水位以下为河道主行洪区，不允许任意侵占、开发，该区域内原则上严禁修建一切碍洪阻洪的建筑物；经充分论证满足岸线功</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54" w:type="dxa"/>
            <w:tcBorders>
              <w:top w:val="nil"/>
              <w:bottom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bottom w:val="nil"/>
            </w:tcBorders>
          </w:tcPr>
          <w:p>
            <w:pPr>
              <w:pStyle w:val="12"/>
              <w:rPr>
                <w:rFonts w:ascii="Times New Roman"/>
                <w:sz w:val="20"/>
              </w:rPr>
            </w:pPr>
          </w:p>
        </w:tc>
        <w:tc>
          <w:tcPr>
            <w:tcW w:w="14846" w:type="dxa"/>
            <w:tcBorders>
              <w:top w:val="nil"/>
              <w:bottom w:val="nil"/>
            </w:tcBorders>
          </w:tcPr>
          <w:p>
            <w:pPr>
              <w:pStyle w:val="12"/>
              <w:spacing w:line="242" w:lineRule="auto"/>
              <w:ind w:left="108" w:right="95"/>
              <w:rPr>
                <w:sz w:val="21"/>
              </w:rPr>
            </w:pPr>
            <w:r>
              <w:rPr>
                <w:spacing w:val="-9"/>
                <w:sz w:val="21"/>
              </w:rPr>
              <w:t>能区管理要求的防洪护岸、河道治理、供水、航道整治、公共管理、生态环境治理、国家重要基础设施等事关公共安全及公众利益的必要建设项目经省人民政府</w:t>
            </w:r>
            <w:r>
              <w:rPr>
                <w:spacing w:val="-5"/>
                <w:sz w:val="21"/>
              </w:rPr>
              <w:t>批准后允许开发。</w:t>
            </w:r>
          </w:p>
        </w:tc>
        <w:tc>
          <w:tcPr>
            <w:tcW w:w="3651" w:type="dxa"/>
            <w:tcBorders>
              <w:top w:val="nil"/>
              <w:bottom w:val="nil"/>
            </w:tcBorders>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054" w:type="dxa"/>
            <w:tcBorders>
              <w:top w:val="nil"/>
            </w:tcBorders>
          </w:tcPr>
          <w:p>
            <w:pPr>
              <w:pStyle w:val="12"/>
              <w:rPr>
                <w:rFonts w:ascii="Times New Roman"/>
                <w:sz w:val="20"/>
              </w:rPr>
            </w:pPr>
          </w:p>
        </w:tc>
        <w:tc>
          <w:tcPr>
            <w:tcW w:w="583" w:type="dxa"/>
            <w:vMerge w:val="continue"/>
            <w:tcBorders>
              <w:top w:val="nil"/>
            </w:tcBorders>
          </w:tcPr>
          <w:p>
            <w:pPr>
              <w:rPr>
                <w:sz w:val="2"/>
                <w:szCs w:val="2"/>
              </w:rPr>
            </w:pPr>
          </w:p>
        </w:tc>
        <w:tc>
          <w:tcPr>
            <w:tcW w:w="1068" w:type="dxa"/>
            <w:tcBorders>
              <w:top w:val="nil"/>
            </w:tcBorders>
          </w:tcPr>
          <w:p>
            <w:pPr>
              <w:pStyle w:val="12"/>
              <w:rPr>
                <w:rFonts w:ascii="Times New Roman"/>
                <w:sz w:val="20"/>
              </w:rPr>
            </w:pPr>
          </w:p>
        </w:tc>
        <w:tc>
          <w:tcPr>
            <w:tcW w:w="14846" w:type="dxa"/>
            <w:tcBorders>
              <w:top w:val="nil"/>
            </w:tcBorders>
          </w:tcPr>
          <w:p>
            <w:pPr>
              <w:pStyle w:val="12"/>
              <w:spacing w:before="50"/>
              <w:ind w:left="108"/>
              <w:rPr>
                <w:sz w:val="21"/>
              </w:rPr>
            </w:pPr>
            <w:r>
              <w:rPr>
                <w:sz w:val="21"/>
              </w:rPr>
              <w:t>5.对于已建、拟建或规划堤防河段，经论证、批准后可修建具有及时拆除功能的临时建筑，在此区域内修建住宅、办公楼、仓库等永久性建筑物需充分论证。</w:t>
            </w:r>
          </w:p>
        </w:tc>
        <w:tc>
          <w:tcPr>
            <w:tcW w:w="3651" w:type="dxa"/>
            <w:tcBorders>
              <w:top w:val="nil"/>
            </w:tcBorders>
          </w:tcPr>
          <w:p>
            <w:pPr>
              <w:pStyle w:val="12"/>
              <w:rPr>
                <w:rFonts w:ascii="Times New Roman"/>
                <w:sz w:val="20"/>
              </w:rPr>
            </w:pPr>
          </w:p>
        </w:tc>
      </w:tr>
    </w:tbl>
    <w:p>
      <w:pPr>
        <w:rPr>
          <w:rFonts w:ascii="Times New Roman"/>
          <w:sz w:val="20"/>
        </w:rPr>
        <w:sectPr>
          <w:pgSz w:w="23760" w:h="16790" w:orient="landscape"/>
          <w:pgMar w:top="1080" w:right="660" w:bottom="1080" w:left="860" w:header="0" w:footer="894" w:gutter="0"/>
          <w:cols w:space="720" w:num="1"/>
        </w:sectPr>
      </w:pPr>
    </w:p>
    <w:p>
      <w:pPr>
        <w:spacing w:before="9"/>
        <w:ind w:left="580"/>
        <w:rPr>
          <w:b/>
          <w:sz w:val="48"/>
        </w:rPr>
      </w:pPr>
      <w:bookmarkStart w:id="6" w:name="_TOC_250001"/>
      <w:bookmarkEnd w:id="6"/>
      <w:r>
        <w:rPr>
          <w:rFonts w:hint="eastAsia"/>
          <w:b/>
          <w:sz w:val="48"/>
          <w:lang w:val="en-US"/>
        </w:rPr>
        <w:t>2</w:t>
      </w:r>
      <w:r>
        <w:rPr>
          <w:b/>
          <w:sz w:val="48"/>
        </w:rPr>
        <w:t xml:space="preserve"> 黔南州普适性管控要求</w:t>
      </w:r>
    </w:p>
    <w:p>
      <w:pPr>
        <w:pStyle w:val="2"/>
        <w:spacing w:before="1"/>
        <w:rPr>
          <w:b/>
          <w:sz w:val="19"/>
        </w:rPr>
      </w:pPr>
    </w:p>
    <w:p>
      <w:pPr>
        <w:pStyle w:val="9"/>
        <w:tabs>
          <w:tab w:val="left" w:pos="1426"/>
        </w:tabs>
        <w:spacing w:before="74" w:after="2"/>
        <w:ind w:left="284"/>
      </w:pPr>
      <w:r>
        <w:t>表</w:t>
      </w:r>
      <w:r>
        <w:rPr>
          <w:spacing w:val="-60"/>
        </w:rPr>
        <w:t xml:space="preserve"> </w:t>
      </w:r>
      <w:r>
        <w:rPr>
          <w:rFonts w:hint="eastAsia" w:ascii="Times New Roman" w:eastAsia="宋体"/>
          <w:lang w:val="en-US"/>
        </w:rPr>
        <w:t>2</w:t>
      </w:r>
      <w:r>
        <w:rPr>
          <w:rFonts w:ascii="Times New Roman" w:eastAsia="Times New Roman"/>
        </w:rPr>
        <w:t>. 1</w:t>
      </w:r>
      <w:r>
        <w:rPr>
          <w:rFonts w:ascii="Times New Roman" w:eastAsia="Times New Roman"/>
        </w:rPr>
        <w:tab/>
      </w:r>
      <w:r>
        <w:t>黔南州普适</w:t>
      </w:r>
      <w:r>
        <w:rPr>
          <w:spacing w:val="3"/>
        </w:rPr>
        <w:t>性</w:t>
      </w:r>
      <w:r>
        <w:t>管控要求表</w:t>
      </w:r>
    </w:p>
    <w:tbl>
      <w:tblPr>
        <w:tblStyle w:val="3"/>
        <w:tblW w:w="20946"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1714"/>
        <w:gridCol w:w="716"/>
        <w:gridCol w:w="12334"/>
        <w:gridCol w:w="5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38" w:type="dxa"/>
          </w:tcPr>
          <w:p>
            <w:pPr>
              <w:pStyle w:val="12"/>
              <w:spacing w:line="220" w:lineRule="exact"/>
              <w:ind w:left="357"/>
              <w:rPr>
                <w:b/>
                <w:sz w:val="21"/>
              </w:rPr>
            </w:pPr>
            <w:r>
              <w:rPr>
                <w:b/>
                <w:sz w:val="21"/>
              </w:rPr>
              <w:t>维度</w:t>
            </w:r>
          </w:p>
        </w:tc>
        <w:tc>
          <w:tcPr>
            <w:tcW w:w="1714" w:type="dxa"/>
          </w:tcPr>
          <w:p>
            <w:pPr>
              <w:pStyle w:val="12"/>
              <w:spacing w:line="220" w:lineRule="exact"/>
              <w:ind w:left="223"/>
              <w:rPr>
                <w:b/>
                <w:sz w:val="21"/>
              </w:rPr>
            </w:pPr>
            <w:r>
              <w:rPr>
                <w:b/>
                <w:sz w:val="21"/>
              </w:rPr>
              <w:t>清单编制要求</w:t>
            </w:r>
          </w:p>
        </w:tc>
        <w:tc>
          <w:tcPr>
            <w:tcW w:w="716" w:type="dxa"/>
          </w:tcPr>
          <w:p>
            <w:pPr>
              <w:pStyle w:val="12"/>
              <w:spacing w:line="220" w:lineRule="exact"/>
              <w:ind w:left="126" w:right="118"/>
              <w:jc w:val="center"/>
              <w:rPr>
                <w:b/>
                <w:sz w:val="21"/>
              </w:rPr>
            </w:pPr>
            <w:r>
              <w:rPr>
                <w:b/>
                <w:sz w:val="21"/>
              </w:rPr>
              <w:t>序号</w:t>
            </w:r>
          </w:p>
        </w:tc>
        <w:tc>
          <w:tcPr>
            <w:tcW w:w="12334" w:type="dxa"/>
          </w:tcPr>
          <w:p>
            <w:pPr>
              <w:pStyle w:val="12"/>
              <w:spacing w:line="220" w:lineRule="exact"/>
              <w:ind w:left="5722" w:right="5717"/>
              <w:jc w:val="center"/>
              <w:rPr>
                <w:b/>
                <w:sz w:val="21"/>
              </w:rPr>
            </w:pPr>
            <w:r>
              <w:rPr>
                <w:b/>
                <w:sz w:val="21"/>
              </w:rPr>
              <w:t>准入要求</w:t>
            </w:r>
          </w:p>
        </w:tc>
        <w:tc>
          <w:tcPr>
            <w:tcW w:w="5044" w:type="dxa"/>
          </w:tcPr>
          <w:p>
            <w:pPr>
              <w:pStyle w:val="12"/>
              <w:spacing w:line="220" w:lineRule="exact"/>
              <w:ind w:left="2077" w:right="2072"/>
              <w:jc w:val="center"/>
              <w:rPr>
                <w:b/>
                <w:sz w:val="21"/>
              </w:rPr>
            </w:pPr>
            <w:r>
              <w:rPr>
                <w:b/>
                <w:sz w:val="21"/>
              </w:rPr>
              <w:t>编制依据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138" w:type="dxa"/>
            <w:tcBorders>
              <w:bottom w:val="nil"/>
            </w:tcBorders>
          </w:tcPr>
          <w:p>
            <w:pPr>
              <w:pStyle w:val="12"/>
              <w:rPr>
                <w:rFonts w:ascii="Times New Roman"/>
                <w:sz w:val="20"/>
              </w:rPr>
            </w:pPr>
          </w:p>
        </w:tc>
        <w:tc>
          <w:tcPr>
            <w:tcW w:w="1714" w:type="dxa"/>
            <w:tcBorders>
              <w:bottom w:val="nil"/>
            </w:tcBorders>
          </w:tcPr>
          <w:p>
            <w:pPr>
              <w:pStyle w:val="12"/>
              <w:rPr>
                <w:rFonts w:ascii="Times New Roman"/>
                <w:sz w:val="20"/>
              </w:rPr>
            </w:pPr>
          </w:p>
        </w:tc>
        <w:tc>
          <w:tcPr>
            <w:tcW w:w="716" w:type="dxa"/>
            <w:tcBorders>
              <w:bottom w:val="nil"/>
            </w:tcBorders>
          </w:tcPr>
          <w:p>
            <w:pPr>
              <w:pStyle w:val="12"/>
              <w:rPr>
                <w:rFonts w:ascii="Times New Roman"/>
                <w:sz w:val="20"/>
              </w:rPr>
            </w:pPr>
          </w:p>
        </w:tc>
        <w:tc>
          <w:tcPr>
            <w:tcW w:w="12334" w:type="dxa"/>
            <w:tcBorders>
              <w:bottom w:val="nil"/>
            </w:tcBorders>
          </w:tcPr>
          <w:p>
            <w:pPr>
              <w:pStyle w:val="12"/>
              <w:spacing w:before="15" w:line="258" w:lineRule="exact"/>
              <w:ind w:left="106"/>
              <w:rPr>
                <w:sz w:val="21"/>
              </w:rPr>
            </w:pPr>
            <w:r>
              <w:rPr>
                <w:rFonts w:ascii="Times New Roman" w:eastAsia="Times New Roman"/>
                <w:sz w:val="21"/>
              </w:rPr>
              <w:t xml:space="preserve">1.  </w:t>
            </w:r>
            <w:r>
              <w:rPr>
                <w:spacing w:val="-8"/>
                <w:sz w:val="21"/>
              </w:rPr>
              <w:t>天然林保护范围内禁止下列行为：</w:t>
            </w:r>
            <w:r>
              <w:rPr>
                <w:spacing w:val="3"/>
                <w:sz w:val="21"/>
              </w:rPr>
              <w:t>（</w:t>
            </w:r>
            <w:r>
              <w:rPr>
                <w:rFonts w:ascii="Times New Roman" w:eastAsia="Times New Roman"/>
                <w:sz w:val="21"/>
              </w:rPr>
              <w:t>1</w:t>
            </w:r>
            <w:r>
              <w:rPr>
                <w:sz w:val="21"/>
              </w:rPr>
              <w:t>）</w:t>
            </w:r>
            <w:r>
              <w:rPr>
                <w:spacing w:val="-5"/>
                <w:sz w:val="21"/>
              </w:rPr>
              <w:t>毁林开垦、烧荒，非法采矿、采石、采砂、取土；</w:t>
            </w:r>
            <w:r>
              <w:rPr>
                <w:spacing w:val="3"/>
                <w:sz w:val="21"/>
              </w:rPr>
              <w:t>（</w:t>
            </w:r>
            <w:r>
              <w:rPr>
                <w:rFonts w:ascii="Times New Roman" w:eastAsia="Times New Roman"/>
                <w:sz w:val="21"/>
              </w:rPr>
              <w:t>2</w:t>
            </w:r>
            <w:r>
              <w:rPr>
                <w:sz w:val="21"/>
              </w:rPr>
              <w:t>）</w:t>
            </w:r>
            <w:r>
              <w:rPr>
                <w:spacing w:val="-11"/>
                <w:sz w:val="21"/>
              </w:rPr>
              <w:t>狩猎、捕杀野生动物；</w:t>
            </w:r>
            <w:r>
              <w:rPr>
                <w:sz w:val="21"/>
              </w:rPr>
              <w:t>（</w:t>
            </w:r>
            <w:r>
              <w:rPr>
                <w:rFonts w:ascii="Times New Roman" w:eastAsia="Times New Roman"/>
                <w:sz w:val="21"/>
              </w:rPr>
              <w:t>3</w:t>
            </w:r>
            <w:r>
              <w:rPr>
                <w:sz w:val="21"/>
              </w:rPr>
              <w:t>）采脂、</w:t>
            </w:r>
          </w:p>
        </w:tc>
        <w:tc>
          <w:tcPr>
            <w:tcW w:w="5044" w:type="dxa"/>
            <w:tcBorders>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spacing w:before="9"/>
              <w:rPr>
                <w:b/>
              </w:rPr>
            </w:pPr>
          </w:p>
          <w:p>
            <w:pPr>
              <w:pStyle w:val="12"/>
              <w:spacing w:line="256" w:lineRule="exact"/>
              <w:ind w:left="9"/>
              <w:jc w:val="center"/>
              <w:rPr>
                <w:rFonts w:ascii="Calibri"/>
                <w:sz w:val="21"/>
              </w:rPr>
            </w:pPr>
            <w:r>
              <w:rPr>
                <w:rFonts w:ascii="Calibri"/>
                <w:sz w:val="21"/>
              </w:rPr>
              <w:t>1</w:t>
            </w:r>
          </w:p>
        </w:tc>
        <w:tc>
          <w:tcPr>
            <w:tcW w:w="12334" w:type="dxa"/>
            <w:tcBorders>
              <w:top w:val="nil"/>
              <w:bottom w:val="nil"/>
            </w:tcBorders>
          </w:tcPr>
          <w:p>
            <w:pPr>
              <w:pStyle w:val="12"/>
              <w:ind w:left="106"/>
              <w:rPr>
                <w:sz w:val="21"/>
              </w:rPr>
            </w:pPr>
            <w:r>
              <w:rPr>
                <w:spacing w:val="-9"/>
                <w:sz w:val="21"/>
              </w:rPr>
              <w:t>割漆、剥皮、挖根及非法采集野生植物；</w:t>
            </w:r>
            <w:r>
              <w:rPr>
                <w:spacing w:val="-1"/>
                <w:sz w:val="21"/>
              </w:rPr>
              <w:t>（</w:t>
            </w:r>
            <w:r>
              <w:rPr>
                <w:rFonts w:ascii="Times New Roman" w:eastAsia="Times New Roman"/>
                <w:sz w:val="21"/>
              </w:rPr>
              <w:t>3</w:t>
            </w:r>
            <w:r>
              <w:rPr>
                <w:spacing w:val="-3"/>
                <w:sz w:val="21"/>
              </w:rPr>
              <w:t>）</w:t>
            </w:r>
            <w:r>
              <w:rPr>
                <w:spacing w:val="-9"/>
                <w:sz w:val="21"/>
              </w:rPr>
              <w:t>倾倒垃圾、渣土和排放有毒、有害物质；</w:t>
            </w:r>
            <w:r>
              <w:rPr>
                <w:spacing w:val="-1"/>
                <w:sz w:val="21"/>
              </w:rPr>
              <w:t>（</w:t>
            </w:r>
            <w:r>
              <w:rPr>
                <w:rFonts w:ascii="Times New Roman" w:eastAsia="Times New Roman"/>
                <w:sz w:val="21"/>
              </w:rPr>
              <w:t>5</w:t>
            </w:r>
            <w:r>
              <w:rPr>
                <w:spacing w:val="-3"/>
                <w:sz w:val="21"/>
              </w:rPr>
              <w:t>）其他破坏天然林的行为。</w:t>
            </w:r>
          </w:p>
          <w:p>
            <w:pPr>
              <w:pStyle w:val="12"/>
              <w:spacing w:before="12" w:line="266" w:lineRule="exact"/>
              <w:ind w:left="106"/>
              <w:rPr>
                <w:sz w:val="21"/>
              </w:rPr>
            </w:pPr>
            <w:r>
              <w:rPr>
                <w:rFonts w:ascii="Times New Roman" w:eastAsia="Times New Roman"/>
                <w:sz w:val="21"/>
              </w:rPr>
              <w:t>2</w:t>
            </w:r>
            <w:r>
              <w:rPr>
                <w:sz w:val="21"/>
              </w:rPr>
              <w:t>． 一级管控区实行最严格的管控措施，禁止经营性项目的开发建设活动。二级管控区，在不改变林地用途和影响生态安全、生物多</w:t>
            </w:r>
          </w:p>
        </w:tc>
        <w:tc>
          <w:tcPr>
            <w:tcW w:w="5044" w:type="dxa"/>
            <w:tcBorders>
              <w:top w:val="nil"/>
              <w:bottom w:val="nil"/>
            </w:tcBorders>
          </w:tcPr>
          <w:p>
            <w:pPr>
              <w:pStyle w:val="12"/>
              <w:spacing w:before="142"/>
              <w:ind w:left="105"/>
              <w:rPr>
                <w:sz w:val="21"/>
              </w:rPr>
            </w:pPr>
            <w:r>
              <w:rPr>
                <w:sz w:val="21"/>
              </w:rPr>
              <w:t>《黔南布依族苗族自治州天然林保护条例》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bottom w:val="nil"/>
            </w:tcBorders>
          </w:tcPr>
          <w:p>
            <w:pPr>
              <w:pStyle w:val="12"/>
              <w:rPr>
                <w:rFonts w:ascii="Times New Roman"/>
                <w:sz w:val="18"/>
              </w:rPr>
            </w:pPr>
          </w:p>
        </w:tc>
        <w:tc>
          <w:tcPr>
            <w:tcW w:w="12334" w:type="dxa"/>
            <w:tcBorders>
              <w:top w:val="nil"/>
              <w:bottom w:val="nil"/>
            </w:tcBorders>
          </w:tcPr>
          <w:p>
            <w:pPr>
              <w:pStyle w:val="12"/>
              <w:spacing w:line="245" w:lineRule="exact"/>
              <w:ind w:left="106"/>
              <w:rPr>
                <w:sz w:val="21"/>
              </w:rPr>
            </w:pPr>
            <w:r>
              <w:rPr>
                <w:sz w:val="21"/>
              </w:rPr>
              <w:t>样性保护的前提下，可以通过流转天然林发展森林康养、林下种植、林下养殖、生态旅游等非木质资源消耗的经营活动。</w:t>
            </w:r>
          </w:p>
        </w:tc>
        <w:tc>
          <w:tcPr>
            <w:tcW w:w="5044"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tcBorders>
          </w:tcPr>
          <w:p>
            <w:pPr>
              <w:pStyle w:val="12"/>
              <w:rPr>
                <w:rFonts w:ascii="Times New Roman"/>
                <w:sz w:val="20"/>
              </w:rPr>
            </w:pPr>
          </w:p>
        </w:tc>
        <w:tc>
          <w:tcPr>
            <w:tcW w:w="12334" w:type="dxa"/>
            <w:tcBorders>
              <w:top w:val="nil"/>
            </w:tcBorders>
          </w:tcPr>
          <w:p>
            <w:pPr>
              <w:pStyle w:val="12"/>
              <w:spacing w:before="8" w:line="247" w:lineRule="exact"/>
              <w:ind w:left="106"/>
              <w:rPr>
                <w:sz w:val="21"/>
              </w:rPr>
            </w:pPr>
            <w:r>
              <w:rPr>
                <w:rFonts w:ascii="Times New Roman" w:eastAsia="Times New Roman"/>
                <w:sz w:val="21"/>
              </w:rPr>
              <w:t>3</w:t>
            </w:r>
            <w:r>
              <w:rPr>
                <w:sz w:val="21"/>
              </w:rPr>
              <w:t>．自治州行政区域内全面停止天然林商业性采伐，禁止皆伐天然林。</w:t>
            </w:r>
          </w:p>
        </w:tc>
        <w:tc>
          <w:tcPr>
            <w:tcW w:w="5044" w:type="dxa"/>
            <w:tcBorders>
              <w:top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bottom w:val="nil"/>
            </w:tcBorders>
          </w:tcPr>
          <w:p>
            <w:pPr>
              <w:pStyle w:val="12"/>
              <w:rPr>
                <w:rFonts w:ascii="Times New Roman"/>
                <w:sz w:val="20"/>
              </w:rPr>
            </w:pPr>
          </w:p>
        </w:tc>
        <w:tc>
          <w:tcPr>
            <w:tcW w:w="12334" w:type="dxa"/>
            <w:tcBorders>
              <w:bottom w:val="nil"/>
            </w:tcBorders>
          </w:tcPr>
          <w:p>
            <w:pPr>
              <w:pStyle w:val="12"/>
              <w:spacing w:before="13" w:line="259" w:lineRule="exact"/>
              <w:ind w:left="106"/>
              <w:rPr>
                <w:sz w:val="21"/>
              </w:rPr>
            </w:pPr>
            <w:r>
              <w:rPr>
                <w:rFonts w:ascii="Times New Roman" w:eastAsia="Times New Roman"/>
                <w:sz w:val="21"/>
              </w:rPr>
              <w:t>1</w:t>
            </w:r>
            <w:r>
              <w:rPr>
                <w:sz w:val="21"/>
              </w:rPr>
              <w:t>．在樟江流域河道管理范围内禁止从事下列活动</w:t>
            </w:r>
            <w:r>
              <w:rPr>
                <w:rFonts w:ascii="Times New Roman" w:eastAsia="Times New Roman"/>
                <w:sz w:val="21"/>
              </w:rPr>
              <w:t>:</w:t>
            </w:r>
            <w:r>
              <w:rPr>
                <w:sz w:val="21"/>
              </w:rPr>
              <w:t>（</w:t>
            </w:r>
            <w:r>
              <w:rPr>
                <w:rFonts w:ascii="Times New Roman" w:eastAsia="Times New Roman"/>
                <w:sz w:val="21"/>
              </w:rPr>
              <w:t>1</w:t>
            </w:r>
            <w:r>
              <w:rPr>
                <w:sz w:val="21"/>
              </w:rPr>
              <w:t>）建设妨碍行洪的建筑物、构筑物，从事影响河势稳定、危害河岸堤防安全和</w:t>
            </w:r>
          </w:p>
        </w:tc>
        <w:tc>
          <w:tcPr>
            <w:tcW w:w="5044" w:type="dxa"/>
            <w:tcBorders>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before="1" w:line="258" w:lineRule="exact"/>
              <w:ind w:left="106"/>
              <w:rPr>
                <w:sz w:val="21"/>
              </w:rPr>
            </w:pPr>
            <w:r>
              <w:rPr>
                <w:spacing w:val="-13"/>
                <w:sz w:val="21"/>
              </w:rPr>
              <w:t>其他妨碍河道行洪的活动；</w:t>
            </w:r>
            <w:r>
              <w:rPr>
                <w:sz w:val="21"/>
              </w:rPr>
              <w:t>（</w:t>
            </w:r>
            <w:r>
              <w:rPr>
                <w:rFonts w:ascii="Times New Roman" w:eastAsia="Times New Roman"/>
                <w:spacing w:val="-3"/>
                <w:sz w:val="21"/>
              </w:rPr>
              <w:t>2</w:t>
            </w:r>
            <w:r>
              <w:rPr>
                <w:spacing w:val="-10"/>
                <w:sz w:val="21"/>
              </w:rPr>
              <w:t>）</w:t>
            </w:r>
            <w:r>
              <w:rPr>
                <w:spacing w:val="-6"/>
                <w:sz w:val="21"/>
              </w:rPr>
              <w:t>围湖造地、围垦河道、种植阻碍行洪的林木及高秆作物</w:t>
            </w:r>
            <w:r>
              <w:rPr>
                <w:spacing w:val="-116"/>
                <w:sz w:val="21"/>
              </w:rPr>
              <w:t>；</w:t>
            </w:r>
            <w:r>
              <w:rPr>
                <w:spacing w:val="-1"/>
                <w:sz w:val="21"/>
              </w:rPr>
              <w:t>（</w:t>
            </w:r>
            <w:r>
              <w:rPr>
                <w:rFonts w:ascii="Times New Roman" w:eastAsia="Times New Roman"/>
                <w:spacing w:val="-3"/>
                <w:sz w:val="21"/>
              </w:rPr>
              <w:t>3</w:t>
            </w:r>
            <w:r>
              <w:rPr>
                <w:spacing w:val="-10"/>
                <w:sz w:val="21"/>
              </w:rPr>
              <w:t>）</w:t>
            </w:r>
            <w:r>
              <w:rPr>
                <w:spacing w:val="-5"/>
                <w:sz w:val="21"/>
              </w:rPr>
              <w:t>炸鱼、电鱼、毒鱼和设置拦河渔具及沉</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line="259" w:lineRule="exact"/>
              <w:ind w:left="106"/>
              <w:rPr>
                <w:sz w:val="21"/>
              </w:rPr>
            </w:pPr>
            <w:r>
              <w:rPr>
                <w:spacing w:val="-28"/>
                <w:sz w:val="21"/>
              </w:rPr>
              <w:t>置船舶；</w:t>
            </w:r>
            <w:r>
              <w:rPr>
                <w:spacing w:val="-1"/>
                <w:sz w:val="21"/>
              </w:rPr>
              <w:t>（</w:t>
            </w:r>
            <w:r>
              <w:rPr>
                <w:rFonts w:ascii="Times New Roman" w:eastAsia="Times New Roman"/>
                <w:spacing w:val="-3"/>
                <w:sz w:val="21"/>
              </w:rPr>
              <w:t>4</w:t>
            </w:r>
            <w:r>
              <w:rPr>
                <w:sz w:val="21"/>
              </w:rPr>
              <w:t>）</w:t>
            </w:r>
            <w:r>
              <w:rPr>
                <w:spacing w:val="-3"/>
                <w:sz w:val="21"/>
              </w:rPr>
              <w:t>侵占、毁坏水工程及堤防、护岸等设施，毁坏防汛、水文监测、水文地质监测等设施。</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before="2" w:line="259" w:lineRule="exact"/>
              <w:ind w:left="106"/>
              <w:rPr>
                <w:sz w:val="21"/>
              </w:rPr>
            </w:pPr>
            <w:r>
              <w:rPr>
                <w:rFonts w:ascii="Times New Roman" w:eastAsia="Times New Roman"/>
                <w:sz w:val="21"/>
              </w:rPr>
              <w:t>2</w:t>
            </w:r>
            <w:r>
              <w:rPr>
                <w:sz w:val="21"/>
              </w:rPr>
              <w:t>．樟江流域禁止下列行为</w:t>
            </w:r>
            <w:r>
              <w:rPr>
                <w:rFonts w:ascii="Times New Roman" w:eastAsia="Times New Roman"/>
                <w:spacing w:val="1"/>
                <w:sz w:val="21"/>
              </w:rPr>
              <w:t>:</w:t>
            </w:r>
            <w:r>
              <w:rPr>
                <w:sz w:val="21"/>
              </w:rPr>
              <w:t>（</w:t>
            </w:r>
            <w:r>
              <w:rPr>
                <w:rFonts w:ascii="Times New Roman" w:eastAsia="Times New Roman"/>
                <w:spacing w:val="2"/>
                <w:sz w:val="21"/>
              </w:rPr>
              <w:t>1</w:t>
            </w:r>
            <w:r>
              <w:rPr>
                <w:sz w:val="21"/>
              </w:rPr>
              <w:t>）</w:t>
            </w:r>
            <w:r>
              <w:rPr>
                <w:spacing w:val="-6"/>
                <w:sz w:val="21"/>
              </w:rPr>
              <w:t>向水体排放油类、酸液、碱液或者剧毒废液；</w:t>
            </w:r>
            <w:r>
              <w:rPr>
                <w:sz w:val="21"/>
              </w:rPr>
              <w:t>（</w:t>
            </w:r>
            <w:r>
              <w:rPr>
                <w:rFonts w:ascii="Times New Roman" w:eastAsia="Times New Roman"/>
                <w:spacing w:val="2"/>
                <w:sz w:val="21"/>
              </w:rPr>
              <w:t>2</w:t>
            </w:r>
            <w:r>
              <w:rPr>
                <w:sz w:val="21"/>
              </w:rPr>
              <w:t>）在水体清洗装贮过油类或者有毒污染物的车辆和</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before="1" w:line="258" w:lineRule="exact"/>
              <w:ind w:left="106"/>
              <w:rPr>
                <w:sz w:val="21"/>
              </w:rPr>
            </w:pPr>
            <w:r>
              <w:rPr>
                <w:spacing w:val="-40"/>
                <w:sz w:val="21"/>
              </w:rPr>
              <w:t>容器；</w:t>
            </w:r>
            <w:r>
              <w:rPr>
                <w:sz w:val="21"/>
              </w:rPr>
              <w:t>（</w:t>
            </w:r>
            <w:r>
              <w:rPr>
                <w:rFonts w:ascii="Times New Roman" w:eastAsia="Times New Roman"/>
                <w:sz w:val="21"/>
              </w:rPr>
              <w:t>3</w:t>
            </w:r>
            <w:r>
              <w:rPr>
                <w:spacing w:val="-13"/>
                <w:sz w:val="21"/>
              </w:rPr>
              <w:t>）</w:t>
            </w:r>
            <w:r>
              <w:rPr>
                <w:spacing w:val="-5"/>
                <w:sz w:val="21"/>
              </w:rPr>
              <w:t>向水体排放、倾倒放射性固体废物或者含有高放射性和中放射性物质的废水</w:t>
            </w:r>
            <w:r>
              <w:rPr>
                <w:spacing w:val="-116"/>
                <w:sz w:val="21"/>
              </w:rPr>
              <w:t>；</w:t>
            </w:r>
            <w:r>
              <w:rPr>
                <w:spacing w:val="-1"/>
                <w:sz w:val="21"/>
              </w:rPr>
              <w:t>（</w:t>
            </w:r>
            <w:r>
              <w:rPr>
                <w:rFonts w:ascii="Times New Roman" w:eastAsia="Times New Roman"/>
                <w:spacing w:val="-3"/>
                <w:sz w:val="21"/>
              </w:rPr>
              <w:t>4</w:t>
            </w:r>
            <w:r>
              <w:rPr>
                <w:spacing w:val="-10"/>
                <w:sz w:val="21"/>
              </w:rPr>
              <w:t>）</w:t>
            </w:r>
            <w:r>
              <w:rPr>
                <w:spacing w:val="-6"/>
                <w:sz w:val="21"/>
              </w:rPr>
              <w:t>向水体排放、倾倒工业废渣、垃圾和其</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spacing w:before="152"/>
              <w:ind w:left="9"/>
              <w:jc w:val="center"/>
              <w:rPr>
                <w:rFonts w:ascii="Calibri"/>
                <w:sz w:val="21"/>
              </w:rPr>
            </w:pPr>
            <w:r>
              <w:rPr>
                <w:rFonts w:ascii="Calibri"/>
                <w:sz w:val="21"/>
              </w:rPr>
              <w:t>2</w:t>
            </w:r>
          </w:p>
        </w:tc>
        <w:tc>
          <w:tcPr>
            <w:tcW w:w="12334" w:type="dxa"/>
            <w:tcBorders>
              <w:top w:val="nil"/>
              <w:bottom w:val="nil"/>
            </w:tcBorders>
          </w:tcPr>
          <w:p>
            <w:pPr>
              <w:pStyle w:val="12"/>
              <w:ind w:left="106"/>
              <w:rPr>
                <w:sz w:val="21"/>
              </w:rPr>
            </w:pPr>
            <w:r>
              <w:rPr>
                <w:spacing w:val="-23"/>
                <w:sz w:val="21"/>
              </w:rPr>
              <w:t>他废弃物；</w:t>
            </w:r>
            <w:r>
              <w:rPr>
                <w:spacing w:val="-1"/>
                <w:sz w:val="21"/>
              </w:rPr>
              <w:t>（</w:t>
            </w:r>
            <w:r>
              <w:rPr>
                <w:rFonts w:ascii="Times New Roman" w:eastAsia="Times New Roman"/>
                <w:sz w:val="21"/>
              </w:rPr>
              <w:t>5</w:t>
            </w:r>
            <w:r>
              <w:rPr>
                <w:spacing w:val="-3"/>
                <w:sz w:val="21"/>
              </w:rPr>
              <w:t>）</w:t>
            </w:r>
            <w:r>
              <w:rPr>
                <w:spacing w:val="-6"/>
                <w:sz w:val="21"/>
              </w:rPr>
              <w:t>利用渗井、渗坑、裂隙或者溶洞等向地下倾倒污水和其他废弃物，存贮有毒有害的废水、污水、垃圾等污染物；</w:t>
            </w:r>
            <w:r>
              <w:rPr>
                <w:spacing w:val="-1"/>
                <w:sz w:val="21"/>
              </w:rPr>
              <w:t>（</w:t>
            </w:r>
            <w:r>
              <w:rPr>
                <w:rFonts w:ascii="Times New Roman" w:eastAsia="Times New Roman"/>
                <w:spacing w:val="-3"/>
                <w:sz w:val="21"/>
              </w:rPr>
              <w:t>6</w:t>
            </w:r>
            <w:r>
              <w:rPr>
                <w:sz w:val="21"/>
              </w:rPr>
              <w:t>）</w:t>
            </w:r>
          </w:p>
          <w:p>
            <w:pPr>
              <w:pStyle w:val="12"/>
              <w:spacing w:before="12" w:line="262" w:lineRule="exact"/>
              <w:ind w:left="106"/>
              <w:rPr>
                <w:sz w:val="21"/>
              </w:rPr>
            </w:pPr>
            <w:r>
              <w:rPr>
                <w:spacing w:val="-13"/>
                <w:sz w:val="21"/>
              </w:rPr>
              <w:t>污染、侵占、填埋地下水出露泉点；</w:t>
            </w:r>
            <w:r>
              <w:rPr>
                <w:spacing w:val="-3"/>
                <w:sz w:val="21"/>
              </w:rPr>
              <w:t>（</w:t>
            </w:r>
            <w:r>
              <w:rPr>
                <w:rFonts w:ascii="Times New Roman" w:eastAsia="Times New Roman"/>
                <w:sz w:val="21"/>
              </w:rPr>
              <w:t>7</w:t>
            </w:r>
            <w:r>
              <w:rPr>
                <w:spacing w:val="-13"/>
                <w:sz w:val="21"/>
              </w:rPr>
              <w:t>）</w:t>
            </w:r>
            <w:r>
              <w:rPr>
                <w:spacing w:val="-5"/>
                <w:sz w:val="21"/>
              </w:rPr>
              <w:t>利用无防渗漏措施的沟渠、坑塘等输送或者存贮含毒污染物的废水、含病原体的污水和其他</w:t>
            </w:r>
          </w:p>
        </w:tc>
        <w:tc>
          <w:tcPr>
            <w:tcW w:w="5044" w:type="dxa"/>
            <w:tcBorders>
              <w:top w:val="nil"/>
              <w:bottom w:val="nil"/>
            </w:tcBorders>
          </w:tcPr>
          <w:p>
            <w:pPr>
              <w:pStyle w:val="12"/>
              <w:spacing w:before="142"/>
              <w:ind w:left="105"/>
              <w:rPr>
                <w:sz w:val="21"/>
              </w:rPr>
            </w:pPr>
            <w:r>
              <w:rPr>
                <w:sz w:val="21"/>
              </w:rPr>
              <w:t>《黔南布依族苗族自治州樟江流域保护条例》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bottom w:val="nil"/>
            </w:tcBorders>
          </w:tcPr>
          <w:p>
            <w:pPr>
              <w:pStyle w:val="12"/>
              <w:rPr>
                <w:rFonts w:ascii="Times New Roman"/>
                <w:sz w:val="18"/>
              </w:rPr>
            </w:pPr>
          </w:p>
        </w:tc>
        <w:tc>
          <w:tcPr>
            <w:tcW w:w="12334" w:type="dxa"/>
            <w:tcBorders>
              <w:top w:val="nil"/>
              <w:bottom w:val="nil"/>
            </w:tcBorders>
          </w:tcPr>
          <w:p>
            <w:pPr>
              <w:pStyle w:val="12"/>
              <w:spacing w:line="248" w:lineRule="exact"/>
              <w:ind w:left="106"/>
              <w:rPr>
                <w:sz w:val="21"/>
              </w:rPr>
            </w:pPr>
            <w:r>
              <w:rPr>
                <w:sz w:val="21"/>
              </w:rPr>
              <w:t>废弃物。</w:t>
            </w:r>
          </w:p>
        </w:tc>
        <w:tc>
          <w:tcPr>
            <w:tcW w:w="5044"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before="8" w:line="259" w:lineRule="exact"/>
              <w:ind w:left="106"/>
              <w:rPr>
                <w:sz w:val="21"/>
              </w:rPr>
            </w:pPr>
            <w:r>
              <w:rPr>
                <w:rFonts w:ascii="Times New Roman" w:eastAsia="Times New Roman"/>
                <w:sz w:val="21"/>
              </w:rPr>
              <w:t>3</w:t>
            </w:r>
            <w:r>
              <w:rPr>
                <w:sz w:val="21"/>
              </w:rPr>
              <w:t>．饮用水水源保护区禁止下列行为</w:t>
            </w:r>
            <w:r>
              <w:rPr>
                <w:rFonts w:ascii="Times New Roman" w:eastAsia="Times New Roman"/>
                <w:spacing w:val="-2"/>
                <w:sz w:val="21"/>
              </w:rPr>
              <w:t>:</w:t>
            </w:r>
            <w:r>
              <w:rPr>
                <w:spacing w:val="2"/>
                <w:sz w:val="21"/>
              </w:rPr>
              <w:t>（</w:t>
            </w:r>
            <w:r>
              <w:rPr>
                <w:rFonts w:ascii="Times New Roman" w:eastAsia="Times New Roman"/>
                <w:sz w:val="21"/>
              </w:rPr>
              <w:t>1</w:t>
            </w:r>
            <w:r>
              <w:rPr>
                <w:sz w:val="21"/>
              </w:rPr>
              <w:t>）</w:t>
            </w:r>
            <w:r>
              <w:rPr>
                <w:spacing w:val="-12"/>
                <w:sz w:val="21"/>
              </w:rPr>
              <w:t>从事餐饮、娱乐业；</w:t>
            </w:r>
            <w:r>
              <w:rPr>
                <w:sz w:val="21"/>
              </w:rPr>
              <w:t>（</w:t>
            </w:r>
            <w:r>
              <w:rPr>
                <w:rFonts w:ascii="Times New Roman" w:eastAsia="Times New Roman"/>
                <w:sz w:val="21"/>
              </w:rPr>
              <w:t>2</w:t>
            </w:r>
            <w:r>
              <w:rPr>
                <w:sz w:val="21"/>
              </w:rPr>
              <w:t>）</w:t>
            </w:r>
            <w:r>
              <w:rPr>
                <w:spacing w:val="-9"/>
                <w:sz w:val="21"/>
              </w:rPr>
              <w:t>游泳、垂钓、水上运动等；</w:t>
            </w:r>
            <w:r>
              <w:rPr>
                <w:spacing w:val="3"/>
                <w:sz w:val="21"/>
              </w:rPr>
              <w:t>（</w:t>
            </w:r>
            <w:r>
              <w:rPr>
                <w:rFonts w:ascii="Times New Roman" w:eastAsia="Times New Roman"/>
                <w:sz w:val="21"/>
              </w:rPr>
              <w:t>3</w:t>
            </w:r>
            <w:r>
              <w:rPr>
                <w:sz w:val="21"/>
              </w:rPr>
              <w:t>）施用化肥，使用高浓度、高残留</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before="1" w:line="259" w:lineRule="exact"/>
              <w:ind w:left="106"/>
              <w:rPr>
                <w:sz w:val="21"/>
              </w:rPr>
            </w:pPr>
            <w:r>
              <w:rPr>
                <w:spacing w:val="-36"/>
                <w:sz w:val="21"/>
              </w:rPr>
              <w:t>农药；</w:t>
            </w:r>
            <w:r>
              <w:rPr>
                <w:spacing w:val="-1"/>
                <w:sz w:val="21"/>
              </w:rPr>
              <w:t>（</w:t>
            </w:r>
            <w:r>
              <w:rPr>
                <w:rFonts w:ascii="Times New Roman" w:eastAsia="Times New Roman"/>
                <w:sz w:val="21"/>
              </w:rPr>
              <w:t>4</w:t>
            </w:r>
            <w:r>
              <w:rPr>
                <w:spacing w:val="-3"/>
                <w:sz w:val="21"/>
              </w:rPr>
              <w:t>）其他污染饮用水水体的活动。</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before="1" w:line="258" w:lineRule="exact"/>
              <w:ind w:left="106"/>
              <w:rPr>
                <w:sz w:val="21"/>
              </w:rPr>
            </w:pPr>
            <w:r>
              <w:rPr>
                <w:rFonts w:ascii="Times New Roman" w:eastAsia="Times New Roman"/>
                <w:sz w:val="21"/>
              </w:rPr>
              <w:t xml:space="preserve">4.  </w:t>
            </w:r>
            <w:r>
              <w:rPr>
                <w:spacing w:val="-6"/>
                <w:sz w:val="21"/>
              </w:rPr>
              <w:t>在生态保护红线区域内，除法律、行政法规另有规定外，禁止下列行为</w:t>
            </w:r>
            <w:r>
              <w:rPr>
                <w:rFonts w:ascii="Times New Roman" w:eastAsia="Times New Roman"/>
                <w:spacing w:val="-9"/>
                <w:sz w:val="21"/>
              </w:rPr>
              <w:t>:</w:t>
            </w:r>
            <w:r>
              <w:rPr>
                <w:spacing w:val="-2"/>
                <w:sz w:val="21"/>
              </w:rPr>
              <w:t>（</w:t>
            </w:r>
            <w:r>
              <w:rPr>
                <w:rFonts w:ascii="Times New Roman" w:eastAsia="Times New Roman"/>
                <w:sz w:val="21"/>
              </w:rPr>
              <w:t>1</w:t>
            </w:r>
            <w:r>
              <w:rPr>
                <w:spacing w:val="-8"/>
                <w:sz w:val="21"/>
              </w:rPr>
              <w:t>）</w:t>
            </w:r>
            <w:r>
              <w:rPr>
                <w:spacing w:val="-14"/>
                <w:sz w:val="21"/>
              </w:rPr>
              <w:t>砍伐、烧山开垦、烧荒、取土；</w:t>
            </w:r>
            <w:r>
              <w:rPr>
                <w:spacing w:val="-1"/>
                <w:sz w:val="21"/>
              </w:rPr>
              <w:t>（</w:t>
            </w:r>
            <w:r>
              <w:rPr>
                <w:rFonts w:ascii="Times New Roman" w:eastAsia="Times New Roman"/>
                <w:sz w:val="21"/>
              </w:rPr>
              <w:t>2</w:t>
            </w:r>
            <w:r>
              <w:rPr>
                <w:spacing w:val="-10"/>
                <w:sz w:val="21"/>
              </w:rPr>
              <w:t>）</w:t>
            </w:r>
            <w:r>
              <w:rPr>
                <w:spacing w:val="-3"/>
                <w:sz w:val="21"/>
              </w:rPr>
              <w:t>狩猎、掘根剥树</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tcBorders>
          </w:tcPr>
          <w:p>
            <w:pPr>
              <w:pStyle w:val="12"/>
              <w:rPr>
                <w:rFonts w:ascii="Times New Roman"/>
                <w:sz w:val="18"/>
              </w:rPr>
            </w:pPr>
          </w:p>
        </w:tc>
        <w:tc>
          <w:tcPr>
            <w:tcW w:w="12334" w:type="dxa"/>
            <w:tcBorders>
              <w:top w:val="nil"/>
            </w:tcBorders>
          </w:tcPr>
          <w:p>
            <w:pPr>
              <w:pStyle w:val="12"/>
              <w:spacing w:line="247" w:lineRule="exact"/>
              <w:ind w:left="106"/>
              <w:rPr>
                <w:sz w:val="21"/>
              </w:rPr>
            </w:pPr>
            <w:r>
              <w:rPr>
                <w:spacing w:val="-53"/>
                <w:sz w:val="21"/>
              </w:rPr>
              <w:t>皮；</w:t>
            </w:r>
            <w:r>
              <w:rPr>
                <w:sz w:val="21"/>
              </w:rPr>
              <w:t>（</w:t>
            </w:r>
            <w:r>
              <w:rPr>
                <w:rFonts w:ascii="Times New Roman" w:eastAsia="Times New Roman"/>
                <w:spacing w:val="-3"/>
                <w:sz w:val="21"/>
              </w:rPr>
              <w:t>3</w:t>
            </w:r>
            <w:r>
              <w:rPr>
                <w:sz w:val="21"/>
              </w:rPr>
              <w:t>）</w:t>
            </w:r>
            <w:r>
              <w:rPr>
                <w:spacing w:val="-15"/>
                <w:sz w:val="21"/>
              </w:rPr>
              <w:t>违反规定野外用火；</w:t>
            </w:r>
            <w:r>
              <w:rPr>
                <w:sz w:val="21"/>
              </w:rPr>
              <w:t>（</w:t>
            </w:r>
            <w:r>
              <w:rPr>
                <w:rFonts w:ascii="Times New Roman" w:eastAsia="Times New Roman"/>
                <w:spacing w:val="-3"/>
                <w:sz w:val="21"/>
              </w:rPr>
              <w:t>4</w:t>
            </w:r>
            <w:r>
              <w:rPr>
                <w:sz w:val="21"/>
              </w:rPr>
              <w:t>）</w:t>
            </w:r>
            <w:r>
              <w:rPr>
                <w:spacing w:val="-3"/>
                <w:sz w:val="21"/>
              </w:rPr>
              <w:t>其他破坏植被的行为。</w:t>
            </w:r>
          </w:p>
        </w:tc>
        <w:tc>
          <w:tcPr>
            <w:tcW w:w="5044" w:type="dxa"/>
            <w:tcBorders>
              <w:top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Pr>
          <w:p>
            <w:pPr>
              <w:pStyle w:val="12"/>
              <w:spacing w:before="23" w:line="237" w:lineRule="exact"/>
              <w:ind w:left="9"/>
              <w:jc w:val="center"/>
              <w:rPr>
                <w:rFonts w:ascii="Calibri"/>
                <w:sz w:val="21"/>
              </w:rPr>
            </w:pPr>
            <w:r>
              <w:rPr>
                <w:rFonts w:ascii="Calibri"/>
                <w:sz w:val="21"/>
              </w:rPr>
              <w:t>3</w:t>
            </w:r>
          </w:p>
        </w:tc>
        <w:tc>
          <w:tcPr>
            <w:tcW w:w="12334" w:type="dxa"/>
          </w:tcPr>
          <w:p>
            <w:pPr>
              <w:pStyle w:val="12"/>
              <w:spacing w:before="13" w:line="247" w:lineRule="exact"/>
              <w:ind w:left="106"/>
              <w:rPr>
                <w:sz w:val="21"/>
              </w:rPr>
            </w:pPr>
            <w:r>
              <w:rPr>
                <w:sz w:val="21"/>
              </w:rPr>
              <w:t>生态保护红线区内禁止新增矿产资源开发活动</w:t>
            </w:r>
          </w:p>
        </w:tc>
        <w:tc>
          <w:tcPr>
            <w:tcW w:w="5044" w:type="dxa"/>
          </w:tcPr>
          <w:p>
            <w:pPr>
              <w:pStyle w:val="12"/>
              <w:spacing w:before="13" w:line="247" w:lineRule="exact"/>
              <w:ind w:left="105"/>
              <w:rPr>
                <w:sz w:val="21"/>
              </w:rPr>
            </w:pPr>
            <w:r>
              <w:rPr>
                <w:sz w:val="21"/>
              </w:rPr>
              <w:t>《黔南州“十三五”环境保护规划》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bottom w:val="nil"/>
            </w:tcBorders>
          </w:tcPr>
          <w:p>
            <w:pPr>
              <w:pStyle w:val="12"/>
              <w:rPr>
                <w:rFonts w:ascii="Times New Roman"/>
                <w:sz w:val="20"/>
              </w:rPr>
            </w:pPr>
          </w:p>
        </w:tc>
        <w:tc>
          <w:tcPr>
            <w:tcW w:w="12334" w:type="dxa"/>
            <w:tcBorders>
              <w:bottom w:val="nil"/>
            </w:tcBorders>
          </w:tcPr>
          <w:p>
            <w:pPr>
              <w:pStyle w:val="12"/>
              <w:spacing w:before="13" w:line="266" w:lineRule="exact"/>
              <w:ind w:left="106"/>
              <w:rPr>
                <w:sz w:val="21"/>
              </w:rPr>
            </w:pPr>
            <w:r>
              <w:rPr>
                <w:rFonts w:ascii="Calibri" w:eastAsia="Calibri"/>
                <w:sz w:val="21"/>
              </w:rPr>
              <w:t>1</w:t>
            </w:r>
            <w:r>
              <w:rPr>
                <w:spacing w:val="-10"/>
                <w:sz w:val="21"/>
              </w:rPr>
              <w:t>、在樟江风景名胜区内禁止下列行为：</w:t>
            </w:r>
            <w:r>
              <w:rPr>
                <w:spacing w:val="-3"/>
                <w:sz w:val="21"/>
              </w:rPr>
              <w:t>（</w:t>
            </w:r>
            <w:r>
              <w:rPr>
                <w:sz w:val="21"/>
              </w:rPr>
              <w:t>一</w:t>
            </w:r>
            <w:r>
              <w:rPr>
                <w:spacing w:val="-3"/>
                <w:sz w:val="21"/>
              </w:rPr>
              <w:t>）</w:t>
            </w:r>
            <w:r>
              <w:rPr>
                <w:spacing w:val="-10"/>
                <w:sz w:val="21"/>
              </w:rPr>
              <w:t>砍伐、损毁古树名木、风景林木花草；</w:t>
            </w:r>
            <w:r>
              <w:rPr>
                <w:sz w:val="21"/>
              </w:rPr>
              <w:t>（</w:t>
            </w:r>
            <w:r>
              <w:rPr>
                <w:spacing w:val="-3"/>
                <w:sz w:val="21"/>
              </w:rPr>
              <w:t>二</w:t>
            </w:r>
            <w:r>
              <w:rPr>
                <w:sz w:val="21"/>
              </w:rPr>
              <w:t>）</w:t>
            </w:r>
            <w:r>
              <w:rPr>
                <w:spacing w:val="-3"/>
                <w:sz w:val="21"/>
              </w:rPr>
              <w:t>毁林开垦、擅自砍伐林木；</w:t>
            </w:r>
          </w:p>
        </w:tc>
        <w:tc>
          <w:tcPr>
            <w:tcW w:w="5044" w:type="dxa"/>
            <w:tcBorders>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spacing w:before="144"/>
              <w:ind w:left="9"/>
              <w:jc w:val="center"/>
              <w:rPr>
                <w:rFonts w:ascii="Calibri"/>
                <w:sz w:val="21"/>
              </w:rPr>
            </w:pPr>
            <w:r>
              <w:rPr>
                <w:rFonts w:ascii="Calibri"/>
                <w:sz w:val="21"/>
              </w:rPr>
              <w:t>4</w:t>
            </w:r>
          </w:p>
        </w:tc>
        <w:tc>
          <w:tcPr>
            <w:tcW w:w="12334" w:type="dxa"/>
            <w:tcBorders>
              <w:top w:val="nil"/>
              <w:bottom w:val="nil"/>
            </w:tcBorders>
          </w:tcPr>
          <w:p>
            <w:pPr>
              <w:pStyle w:val="12"/>
              <w:spacing w:line="264" w:lineRule="exact"/>
              <w:ind w:left="106"/>
              <w:rPr>
                <w:sz w:val="21"/>
              </w:rPr>
            </w:pPr>
            <w:r>
              <w:rPr>
                <w:sz w:val="21"/>
              </w:rPr>
              <w:t>（三</w:t>
            </w:r>
            <w:r>
              <w:rPr>
                <w:spacing w:val="-8"/>
                <w:sz w:val="21"/>
              </w:rPr>
              <w:t>）</w:t>
            </w:r>
            <w:r>
              <w:rPr>
                <w:spacing w:val="-13"/>
                <w:sz w:val="21"/>
              </w:rPr>
              <w:t>擅自开山、开矿、采石、挖砂、取土；</w:t>
            </w:r>
            <w:r>
              <w:rPr>
                <w:spacing w:val="-3"/>
                <w:sz w:val="21"/>
              </w:rPr>
              <w:t>（</w:t>
            </w:r>
            <w:r>
              <w:rPr>
                <w:sz w:val="21"/>
              </w:rPr>
              <w:t>四</w:t>
            </w:r>
            <w:r>
              <w:rPr>
                <w:spacing w:val="-8"/>
                <w:sz w:val="21"/>
              </w:rPr>
              <w:t>）</w:t>
            </w:r>
            <w:r>
              <w:rPr>
                <w:spacing w:val="-12"/>
                <w:sz w:val="21"/>
              </w:rPr>
              <w:t>围填堵塞河流、溪流、湖泊、山泉、瀑布；</w:t>
            </w:r>
            <w:r>
              <w:rPr>
                <w:sz w:val="21"/>
              </w:rPr>
              <w:t>（</w:t>
            </w:r>
            <w:r>
              <w:rPr>
                <w:spacing w:val="-3"/>
                <w:sz w:val="21"/>
              </w:rPr>
              <w:t>五</w:t>
            </w:r>
            <w:r>
              <w:rPr>
                <w:spacing w:val="-5"/>
                <w:sz w:val="21"/>
              </w:rPr>
              <w:t>）</w:t>
            </w:r>
            <w:r>
              <w:rPr>
                <w:spacing w:val="-4"/>
                <w:sz w:val="21"/>
              </w:rPr>
              <w:t>堆积、装贮、排放污染环境的废</w:t>
            </w:r>
          </w:p>
          <w:p>
            <w:pPr>
              <w:pStyle w:val="12"/>
              <w:spacing w:before="9" w:line="255" w:lineRule="exact"/>
              <w:ind w:left="106"/>
              <w:rPr>
                <w:sz w:val="21"/>
              </w:rPr>
            </w:pPr>
            <w:r>
              <w:rPr>
                <w:spacing w:val="-13"/>
                <w:sz w:val="21"/>
              </w:rPr>
              <w:t>渣、废水和有毒有害气体；</w:t>
            </w:r>
            <w:r>
              <w:rPr>
                <w:sz w:val="21"/>
              </w:rPr>
              <w:t>（六</w:t>
            </w:r>
            <w:r>
              <w:rPr>
                <w:spacing w:val="-8"/>
                <w:sz w:val="21"/>
              </w:rPr>
              <w:t>）</w:t>
            </w:r>
            <w:r>
              <w:rPr>
                <w:spacing w:val="-9"/>
                <w:sz w:val="21"/>
              </w:rPr>
              <w:t>由水体环境倾倒垃圾和其他固体废弃物，在水中洗涤有毒、有污染的物品；</w:t>
            </w:r>
            <w:r>
              <w:rPr>
                <w:spacing w:val="-3"/>
                <w:sz w:val="21"/>
              </w:rPr>
              <w:t>（</w:t>
            </w:r>
            <w:r>
              <w:rPr>
                <w:sz w:val="21"/>
              </w:rPr>
              <w:t>七</w:t>
            </w:r>
            <w:r>
              <w:rPr>
                <w:spacing w:val="-10"/>
                <w:sz w:val="21"/>
              </w:rPr>
              <w:t>）</w:t>
            </w:r>
            <w:r>
              <w:rPr>
                <w:spacing w:val="-5"/>
                <w:sz w:val="21"/>
              </w:rPr>
              <w:t>猎、捕、炸、毒或</w:t>
            </w:r>
          </w:p>
        </w:tc>
        <w:tc>
          <w:tcPr>
            <w:tcW w:w="5044" w:type="dxa"/>
            <w:tcBorders>
              <w:top w:val="nil"/>
              <w:bottom w:val="nil"/>
            </w:tcBorders>
          </w:tcPr>
          <w:p>
            <w:pPr>
              <w:pStyle w:val="12"/>
              <w:spacing w:line="264" w:lineRule="exact"/>
              <w:ind w:left="105"/>
              <w:rPr>
                <w:sz w:val="21"/>
              </w:rPr>
            </w:pPr>
            <w:r>
              <w:rPr>
                <w:sz w:val="21"/>
              </w:rPr>
              <w:t>《黔南布依族苗族自治州荔波樟江风景名胜区管理</w:t>
            </w:r>
          </w:p>
          <w:p>
            <w:pPr>
              <w:pStyle w:val="12"/>
              <w:spacing w:before="9" w:line="255" w:lineRule="exact"/>
              <w:ind w:left="105"/>
              <w:rPr>
                <w:sz w:val="21"/>
              </w:rPr>
            </w:pPr>
            <w:r>
              <w:rPr>
                <w:sz w:val="21"/>
              </w:rPr>
              <w:t>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38" w:type="dxa"/>
            <w:vMerge w:val="restart"/>
            <w:tcBorders>
              <w:top w:val="nil"/>
              <w:bottom w:val="nil"/>
            </w:tcBorders>
          </w:tcPr>
          <w:p>
            <w:pPr>
              <w:pStyle w:val="12"/>
              <w:spacing w:before="2"/>
              <w:rPr>
                <w:b/>
                <w:sz w:val="14"/>
              </w:rPr>
            </w:pPr>
          </w:p>
          <w:p>
            <w:pPr>
              <w:pStyle w:val="12"/>
              <w:spacing w:line="250" w:lineRule="exact"/>
              <w:ind w:left="107"/>
              <w:rPr>
                <w:sz w:val="21"/>
              </w:rPr>
            </w:pPr>
            <w:r>
              <w:rPr>
                <w:sz w:val="21"/>
              </w:rPr>
              <w:t>空间布局</w:t>
            </w:r>
          </w:p>
        </w:tc>
        <w:tc>
          <w:tcPr>
            <w:tcW w:w="1714" w:type="dxa"/>
            <w:vMerge w:val="restart"/>
            <w:tcBorders>
              <w:top w:val="nil"/>
              <w:bottom w:val="nil"/>
            </w:tcBorders>
          </w:tcPr>
          <w:p>
            <w:pPr>
              <w:pStyle w:val="12"/>
              <w:spacing w:before="2"/>
              <w:rPr>
                <w:b/>
                <w:sz w:val="14"/>
              </w:rPr>
            </w:pPr>
          </w:p>
          <w:p>
            <w:pPr>
              <w:pStyle w:val="12"/>
              <w:spacing w:line="250" w:lineRule="exact"/>
              <w:ind w:left="107"/>
              <w:rPr>
                <w:sz w:val="21"/>
              </w:rPr>
            </w:pPr>
            <w:r>
              <w:rPr>
                <w:sz w:val="21"/>
              </w:rPr>
              <w:t>禁止开发建设活</w:t>
            </w:r>
          </w:p>
        </w:tc>
        <w:tc>
          <w:tcPr>
            <w:tcW w:w="716" w:type="dxa"/>
            <w:tcBorders>
              <w:top w:val="nil"/>
            </w:tcBorders>
          </w:tcPr>
          <w:p>
            <w:pPr>
              <w:pStyle w:val="12"/>
              <w:rPr>
                <w:rFonts w:ascii="Times New Roman"/>
                <w:sz w:val="20"/>
              </w:rPr>
            </w:pPr>
          </w:p>
        </w:tc>
        <w:tc>
          <w:tcPr>
            <w:tcW w:w="12334" w:type="dxa"/>
            <w:tcBorders>
              <w:top w:val="nil"/>
            </w:tcBorders>
          </w:tcPr>
          <w:p>
            <w:pPr>
              <w:pStyle w:val="12"/>
              <w:spacing w:before="6" w:line="247" w:lineRule="exact"/>
              <w:ind w:left="106"/>
              <w:rPr>
                <w:sz w:val="21"/>
              </w:rPr>
            </w:pPr>
            <w:r>
              <w:rPr>
                <w:spacing w:val="-11"/>
                <w:sz w:val="21"/>
              </w:rPr>
              <w:t>者以其他方式伤害野生动物；</w:t>
            </w:r>
            <w:r>
              <w:rPr>
                <w:spacing w:val="-3"/>
                <w:sz w:val="21"/>
              </w:rPr>
              <w:t>（</w:t>
            </w:r>
            <w:r>
              <w:rPr>
                <w:sz w:val="21"/>
              </w:rPr>
              <w:t>八</w:t>
            </w:r>
            <w:r>
              <w:rPr>
                <w:spacing w:val="-3"/>
                <w:sz w:val="21"/>
              </w:rPr>
              <w:t>）其他危害风景名胜资源的行为。</w:t>
            </w:r>
          </w:p>
        </w:tc>
        <w:tc>
          <w:tcPr>
            <w:tcW w:w="5044" w:type="dxa"/>
            <w:tcBorders>
              <w:top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1138" w:type="dxa"/>
            <w:vMerge w:val="continue"/>
            <w:tcBorders>
              <w:top w:val="nil"/>
              <w:bottom w:val="nil"/>
            </w:tcBorders>
          </w:tcPr>
          <w:p>
            <w:pPr>
              <w:rPr>
                <w:sz w:val="2"/>
                <w:szCs w:val="2"/>
              </w:rPr>
            </w:pPr>
          </w:p>
        </w:tc>
        <w:tc>
          <w:tcPr>
            <w:tcW w:w="1714" w:type="dxa"/>
            <w:vMerge w:val="continue"/>
            <w:tcBorders>
              <w:top w:val="nil"/>
              <w:bottom w:val="nil"/>
            </w:tcBorders>
          </w:tcPr>
          <w:p>
            <w:pPr>
              <w:rPr>
                <w:sz w:val="2"/>
                <w:szCs w:val="2"/>
              </w:rPr>
            </w:pPr>
          </w:p>
        </w:tc>
        <w:tc>
          <w:tcPr>
            <w:tcW w:w="716" w:type="dxa"/>
            <w:vMerge w:val="restart"/>
          </w:tcPr>
          <w:p>
            <w:pPr>
              <w:pStyle w:val="12"/>
              <w:spacing w:before="23" w:line="237" w:lineRule="exact"/>
              <w:ind w:left="9"/>
              <w:jc w:val="center"/>
              <w:rPr>
                <w:rFonts w:ascii="Calibri"/>
                <w:sz w:val="21"/>
              </w:rPr>
            </w:pPr>
            <w:r>
              <w:rPr>
                <w:rFonts w:ascii="Calibri"/>
                <w:sz w:val="21"/>
              </w:rPr>
              <w:t>5</w:t>
            </w:r>
          </w:p>
        </w:tc>
        <w:tc>
          <w:tcPr>
            <w:tcW w:w="12334" w:type="dxa"/>
            <w:vMerge w:val="restart"/>
          </w:tcPr>
          <w:p>
            <w:pPr>
              <w:pStyle w:val="12"/>
              <w:spacing w:before="13" w:line="247" w:lineRule="exact"/>
              <w:ind w:left="106"/>
              <w:rPr>
                <w:sz w:val="21"/>
              </w:rPr>
            </w:pPr>
            <w:r>
              <w:rPr>
                <w:sz w:val="21"/>
              </w:rPr>
              <w:t>自治州人民政府加强渔政管理，保护水产资源，严禁毒鱼、炸鱼。</w:t>
            </w:r>
          </w:p>
        </w:tc>
        <w:tc>
          <w:tcPr>
            <w:tcW w:w="5044" w:type="dxa"/>
            <w:vMerge w:val="restart"/>
          </w:tcPr>
          <w:p>
            <w:pPr>
              <w:pStyle w:val="12"/>
              <w:spacing w:before="13" w:line="247" w:lineRule="exact"/>
              <w:ind w:left="105"/>
              <w:rPr>
                <w:sz w:val="21"/>
              </w:rPr>
            </w:pPr>
            <w:r>
              <w:rPr>
                <w:sz w:val="21"/>
              </w:rPr>
              <w:t>《黔南布依族苗族自治州自治条例》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38" w:type="dxa"/>
            <w:vMerge w:val="restart"/>
            <w:tcBorders>
              <w:top w:val="nil"/>
              <w:bottom w:val="nil"/>
            </w:tcBorders>
          </w:tcPr>
          <w:p>
            <w:pPr>
              <w:pStyle w:val="12"/>
              <w:spacing w:before="1"/>
              <w:ind w:left="107"/>
              <w:rPr>
                <w:sz w:val="21"/>
              </w:rPr>
            </w:pPr>
            <w:r>
              <w:rPr>
                <w:sz w:val="21"/>
              </w:rPr>
              <w:t>约束</w:t>
            </w:r>
          </w:p>
        </w:tc>
        <w:tc>
          <w:tcPr>
            <w:tcW w:w="1714" w:type="dxa"/>
            <w:vMerge w:val="restart"/>
            <w:tcBorders>
              <w:top w:val="nil"/>
              <w:bottom w:val="nil"/>
            </w:tcBorders>
          </w:tcPr>
          <w:p>
            <w:pPr>
              <w:pStyle w:val="12"/>
              <w:spacing w:before="1"/>
              <w:ind w:left="107"/>
              <w:rPr>
                <w:sz w:val="21"/>
              </w:rPr>
            </w:pPr>
            <w:r>
              <w:rPr>
                <w:sz w:val="21"/>
              </w:rPr>
              <w:t>动的要求</w:t>
            </w:r>
          </w:p>
        </w:tc>
        <w:tc>
          <w:tcPr>
            <w:tcW w:w="716" w:type="dxa"/>
            <w:vMerge w:val="continue"/>
            <w:tcBorders>
              <w:top w:val="nil"/>
            </w:tcBorders>
          </w:tcPr>
          <w:p>
            <w:pPr>
              <w:rPr>
                <w:sz w:val="2"/>
                <w:szCs w:val="2"/>
              </w:rPr>
            </w:pPr>
          </w:p>
        </w:tc>
        <w:tc>
          <w:tcPr>
            <w:tcW w:w="12334" w:type="dxa"/>
            <w:vMerge w:val="continue"/>
            <w:tcBorders>
              <w:top w:val="nil"/>
            </w:tcBorders>
          </w:tcPr>
          <w:p>
            <w:pPr>
              <w:rPr>
                <w:sz w:val="2"/>
                <w:szCs w:val="2"/>
              </w:rPr>
            </w:pP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138" w:type="dxa"/>
            <w:vMerge w:val="continue"/>
            <w:tcBorders>
              <w:top w:val="nil"/>
              <w:bottom w:val="nil"/>
            </w:tcBorders>
          </w:tcPr>
          <w:p>
            <w:pPr>
              <w:rPr>
                <w:sz w:val="2"/>
                <w:szCs w:val="2"/>
              </w:rPr>
            </w:pPr>
          </w:p>
        </w:tc>
        <w:tc>
          <w:tcPr>
            <w:tcW w:w="1714" w:type="dxa"/>
            <w:vMerge w:val="continue"/>
            <w:tcBorders>
              <w:top w:val="nil"/>
              <w:bottom w:val="nil"/>
            </w:tcBorders>
          </w:tcPr>
          <w:p>
            <w:pPr>
              <w:rPr>
                <w:sz w:val="2"/>
                <w:szCs w:val="2"/>
              </w:rPr>
            </w:pPr>
          </w:p>
        </w:tc>
        <w:tc>
          <w:tcPr>
            <w:tcW w:w="716" w:type="dxa"/>
            <w:vMerge w:val="restart"/>
          </w:tcPr>
          <w:p>
            <w:pPr>
              <w:pStyle w:val="12"/>
              <w:spacing w:before="162"/>
              <w:ind w:left="9"/>
              <w:jc w:val="center"/>
              <w:rPr>
                <w:rFonts w:ascii="Calibri"/>
                <w:sz w:val="21"/>
              </w:rPr>
            </w:pPr>
            <w:r>
              <w:rPr>
                <w:rFonts w:ascii="Calibri"/>
                <w:sz w:val="21"/>
              </w:rPr>
              <w:t>6</w:t>
            </w:r>
          </w:p>
        </w:tc>
        <w:tc>
          <w:tcPr>
            <w:tcW w:w="12334" w:type="dxa"/>
            <w:tcBorders>
              <w:bottom w:val="nil"/>
            </w:tcBorders>
          </w:tcPr>
          <w:p>
            <w:pPr>
              <w:pStyle w:val="12"/>
              <w:spacing w:before="13" w:line="248" w:lineRule="exact"/>
              <w:ind w:left="106"/>
              <w:rPr>
                <w:sz w:val="21"/>
              </w:rPr>
            </w:pPr>
            <w:r>
              <w:rPr>
                <w:sz w:val="21"/>
              </w:rPr>
              <w:t>禁止在世界自然遗产地和国家级风景名胜区、自然保护区、森林公园、地质公园等从事矿产资源以及其他污染和破坏生态环境的开发</w:t>
            </w:r>
          </w:p>
        </w:tc>
        <w:tc>
          <w:tcPr>
            <w:tcW w:w="5044" w:type="dxa"/>
            <w:vMerge w:val="restart"/>
          </w:tcPr>
          <w:p>
            <w:pPr>
              <w:pStyle w:val="12"/>
              <w:spacing w:before="152"/>
              <w:ind w:left="105"/>
              <w:rPr>
                <w:sz w:val="21"/>
              </w:rPr>
            </w:pPr>
            <w:r>
              <w:rPr>
                <w:sz w:val="21"/>
              </w:rPr>
              <w:t>《黔南布依族苗族自治州旅游发展条例》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vMerge w:val="continue"/>
            <w:tcBorders>
              <w:top w:val="nil"/>
            </w:tcBorders>
          </w:tcPr>
          <w:p>
            <w:pPr>
              <w:rPr>
                <w:sz w:val="2"/>
                <w:szCs w:val="2"/>
              </w:rPr>
            </w:pPr>
          </w:p>
        </w:tc>
        <w:tc>
          <w:tcPr>
            <w:tcW w:w="12334" w:type="dxa"/>
            <w:tcBorders>
              <w:top w:val="nil"/>
            </w:tcBorders>
          </w:tcPr>
          <w:p>
            <w:pPr>
              <w:pStyle w:val="12"/>
              <w:spacing w:line="247" w:lineRule="exact"/>
              <w:ind w:left="106"/>
              <w:rPr>
                <w:sz w:val="21"/>
              </w:rPr>
            </w:pPr>
            <w:r>
              <w:rPr>
                <w:sz w:val="21"/>
              </w:rPr>
              <w:t>活动。</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bottom w:val="nil"/>
            </w:tcBorders>
          </w:tcPr>
          <w:p>
            <w:pPr>
              <w:pStyle w:val="12"/>
              <w:rPr>
                <w:rFonts w:ascii="Times New Roman"/>
                <w:sz w:val="20"/>
              </w:rPr>
            </w:pPr>
          </w:p>
        </w:tc>
        <w:tc>
          <w:tcPr>
            <w:tcW w:w="12334" w:type="dxa"/>
            <w:tcBorders>
              <w:bottom w:val="nil"/>
            </w:tcBorders>
          </w:tcPr>
          <w:p>
            <w:pPr>
              <w:pStyle w:val="12"/>
              <w:spacing w:before="13" w:line="266" w:lineRule="exact"/>
              <w:ind w:left="106" w:right="-15"/>
              <w:rPr>
                <w:sz w:val="21"/>
              </w:rPr>
            </w:pPr>
            <w:r>
              <w:rPr>
                <w:rFonts w:ascii="Calibri" w:eastAsia="Calibri"/>
                <w:sz w:val="21"/>
              </w:rPr>
              <w:t>1.</w:t>
            </w:r>
            <w:r>
              <w:rPr>
                <w:rFonts w:ascii="Calibri" w:eastAsia="Calibri"/>
                <w:spacing w:val="16"/>
                <w:sz w:val="21"/>
              </w:rPr>
              <w:t xml:space="preserve"> </w:t>
            </w:r>
            <w:r>
              <w:rPr>
                <w:spacing w:val="-5"/>
                <w:sz w:val="21"/>
              </w:rPr>
              <w:t>在国家地面水环境质量标准一类、二类水体流域范围内，不得建设炼硫、电镀、制革、造纸、制浆、炼焦、漂染、有色金属冶炼、</w:t>
            </w:r>
          </w:p>
        </w:tc>
        <w:tc>
          <w:tcPr>
            <w:tcW w:w="5044" w:type="dxa"/>
            <w:tcBorders>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bottom w:val="nil"/>
            </w:tcBorders>
          </w:tcPr>
          <w:p>
            <w:pPr>
              <w:pStyle w:val="12"/>
              <w:rPr>
                <w:rFonts w:ascii="Times New Roman"/>
                <w:sz w:val="18"/>
              </w:rPr>
            </w:pPr>
          </w:p>
        </w:tc>
        <w:tc>
          <w:tcPr>
            <w:tcW w:w="12334" w:type="dxa"/>
            <w:tcBorders>
              <w:top w:val="nil"/>
            </w:tcBorders>
          </w:tcPr>
          <w:p>
            <w:pPr>
              <w:pStyle w:val="12"/>
              <w:spacing w:line="242" w:lineRule="exact"/>
              <w:ind w:left="106"/>
              <w:rPr>
                <w:sz w:val="21"/>
              </w:rPr>
            </w:pPr>
            <w:r>
              <w:rPr>
                <w:sz w:val="21"/>
              </w:rPr>
              <w:t>化肥等国家明令禁止的对水体有严重污染的项目。</w:t>
            </w:r>
          </w:p>
        </w:tc>
        <w:tc>
          <w:tcPr>
            <w:tcW w:w="5044"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Pr>
          <w:p>
            <w:pPr>
              <w:pStyle w:val="12"/>
              <w:spacing w:before="13" w:line="245" w:lineRule="exact"/>
              <w:ind w:left="106"/>
              <w:rPr>
                <w:sz w:val="21"/>
              </w:rPr>
            </w:pPr>
            <w:r>
              <w:rPr>
                <w:rFonts w:ascii="Calibri" w:eastAsia="Calibri"/>
                <w:sz w:val="21"/>
              </w:rPr>
              <w:t xml:space="preserve">2. </w:t>
            </w:r>
            <w:r>
              <w:rPr>
                <w:sz w:val="21"/>
              </w:rPr>
              <w:t>禁止向已建成污水截流沟的河排入污水。</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bottom w:val="nil"/>
            </w:tcBorders>
          </w:tcPr>
          <w:p>
            <w:pPr>
              <w:pStyle w:val="12"/>
              <w:spacing w:before="15" w:line="265" w:lineRule="exact"/>
              <w:ind w:left="106" w:right="-15"/>
              <w:rPr>
                <w:sz w:val="21"/>
              </w:rPr>
            </w:pPr>
            <w:r>
              <w:rPr>
                <w:rFonts w:ascii="Calibri" w:eastAsia="Calibri"/>
                <w:sz w:val="21"/>
              </w:rPr>
              <w:t>3.</w:t>
            </w:r>
            <w:r>
              <w:rPr>
                <w:spacing w:val="-12"/>
                <w:sz w:val="21"/>
              </w:rPr>
              <w:t>禁止向地表水体排放、倾倒工业废渣、生活垃圾、有毒有害废液和其他废弃物。禁止在地表水体清洗装贮过有毒有害污染物的车辆、</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bottom w:val="nil"/>
            </w:tcBorders>
          </w:tcPr>
          <w:p>
            <w:pPr>
              <w:pStyle w:val="12"/>
              <w:rPr>
                <w:rFonts w:ascii="Times New Roman"/>
                <w:sz w:val="18"/>
              </w:rPr>
            </w:pPr>
          </w:p>
        </w:tc>
        <w:tc>
          <w:tcPr>
            <w:tcW w:w="12334" w:type="dxa"/>
            <w:tcBorders>
              <w:top w:val="nil"/>
            </w:tcBorders>
          </w:tcPr>
          <w:p>
            <w:pPr>
              <w:pStyle w:val="12"/>
              <w:spacing w:line="241" w:lineRule="exact"/>
              <w:ind w:left="106"/>
              <w:rPr>
                <w:sz w:val="21"/>
              </w:rPr>
            </w:pPr>
            <w:r>
              <w:rPr>
                <w:sz w:val="21"/>
              </w:rPr>
              <w:t>容器或包装物等。 禁止在地表水体使用毒物、农药、炸药捕杀鱼类和危害其它水生生物。</w:t>
            </w:r>
          </w:p>
        </w:tc>
        <w:tc>
          <w:tcPr>
            <w:tcW w:w="5044"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8" w:type="dxa"/>
            <w:vMerge w:val="restart"/>
            <w:tcBorders>
              <w:top w:val="nil"/>
              <w:bottom w:val="nil"/>
            </w:tcBorders>
          </w:tcPr>
          <w:p>
            <w:pPr>
              <w:pStyle w:val="12"/>
              <w:rPr>
                <w:rFonts w:ascii="Times New Roman"/>
                <w:sz w:val="20"/>
              </w:rPr>
            </w:pPr>
          </w:p>
        </w:tc>
        <w:tc>
          <w:tcPr>
            <w:tcW w:w="1714" w:type="dxa"/>
            <w:vMerge w:val="restart"/>
            <w:tcBorders>
              <w:top w:val="nil"/>
              <w:bottom w:val="nil"/>
            </w:tcBorders>
          </w:tcPr>
          <w:p>
            <w:pPr>
              <w:pStyle w:val="12"/>
              <w:rPr>
                <w:rFonts w:ascii="Times New Roman"/>
                <w:sz w:val="20"/>
              </w:rPr>
            </w:pPr>
          </w:p>
        </w:tc>
        <w:tc>
          <w:tcPr>
            <w:tcW w:w="716" w:type="dxa"/>
            <w:vMerge w:val="restart"/>
            <w:tcBorders>
              <w:top w:val="nil"/>
              <w:bottom w:val="nil"/>
            </w:tcBorders>
          </w:tcPr>
          <w:p>
            <w:pPr>
              <w:pStyle w:val="12"/>
              <w:spacing w:before="158"/>
              <w:ind w:left="9"/>
              <w:jc w:val="center"/>
              <w:rPr>
                <w:rFonts w:ascii="Calibri"/>
                <w:sz w:val="21"/>
              </w:rPr>
            </w:pPr>
            <w:r>
              <w:rPr>
                <w:rFonts w:ascii="Calibri"/>
                <w:sz w:val="21"/>
              </w:rPr>
              <w:t>7</w:t>
            </w:r>
          </w:p>
        </w:tc>
        <w:tc>
          <w:tcPr>
            <w:tcW w:w="12334" w:type="dxa"/>
          </w:tcPr>
          <w:p>
            <w:pPr>
              <w:pStyle w:val="12"/>
              <w:spacing w:before="13" w:line="247" w:lineRule="exact"/>
              <w:ind w:left="106"/>
              <w:rPr>
                <w:sz w:val="21"/>
              </w:rPr>
            </w:pPr>
            <w:r>
              <w:rPr>
                <w:rFonts w:ascii="Calibri" w:eastAsia="Calibri"/>
                <w:sz w:val="21"/>
              </w:rPr>
              <w:t xml:space="preserve">4. </w:t>
            </w:r>
            <w:r>
              <w:rPr>
                <w:sz w:val="21"/>
              </w:rPr>
              <w:t>禁止任何单位和个人利用渗井、渗坑、裂隙和溶洞排放、倾倒含有毒污染物的废水、含病原体的污水和其它废弃物。</w:t>
            </w:r>
          </w:p>
        </w:tc>
        <w:tc>
          <w:tcPr>
            <w:tcW w:w="5044" w:type="dxa"/>
            <w:vMerge w:val="restart"/>
            <w:tcBorders>
              <w:top w:val="nil"/>
              <w:bottom w:val="nil"/>
            </w:tcBorders>
          </w:tcPr>
          <w:p>
            <w:pPr>
              <w:pStyle w:val="12"/>
              <w:spacing w:before="148"/>
              <w:ind w:left="105"/>
              <w:rPr>
                <w:sz w:val="21"/>
              </w:rPr>
            </w:pPr>
            <w:r>
              <w:rPr>
                <w:sz w:val="21"/>
              </w:rPr>
              <w:t>《黔南布依族苗族自治州城市水污染防治条例》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38" w:type="dxa"/>
            <w:vMerge w:val="continue"/>
            <w:tcBorders>
              <w:top w:val="nil"/>
              <w:bottom w:val="nil"/>
            </w:tcBorders>
          </w:tcPr>
          <w:p>
            <w:pPr>
              <w:rPr>
                <w:sz w:val="2"/>
                <w:szCs w:val="2"/>
              </w:rPr>
            </w:pPr>
          </w:p>
        </w:tc>
        <w:tc>
          <w:tcPr>
            <w:tcW w:w="1714" w:type="dxa"/>
            <w:vMerge w:val="continue"/>
            <w:tcBorders>
              <w:top w:val="nil"/>
              <w:bottom w:val="nil"/>
            </w:tcBorders>
          </w:tcPr>
          <w:p>
            <w:pPr>
              <w:rPr>
                <w:sz w:val="2"/>
                <w:szCs w:val="2"/>
              </w:rPr>
            </w:pPr>
          </w:p>
        </w:tc>
        <w:tc>
          <w:tcPr>
            <w:tcW w:w="716" w:type="dxa"/>
            <w:vMerge w:val="continue"/>
            <w:tcBorders>
              <w:top w:val="nil"/>
              <w:bottom w:val="nil"/>
            </w:tcBorders>
          </w:tcPr>
          <w:p>
            <w:pPr>
              <w:rPr>
                <w:sz w:val="2"/>
                <w:szCs w:val="2"/>
              </w:rPr>
            </w:pPr>
          </w:p>
        </w:tc>
        <w:tc>
          <w:tcPr>
            <w:tcW w:w="12334" w:type="dxa"/>
            <w:tcBorders>
              <w:bottom w:val="nil"/>
            </w:tcBorders>
          </w:tcPr>
          <w:p>
            <w:pPr>
              <w:pStyle w:val="12"/>
              <w:spacing w:before="13" w:line="266" w:lineRule="exact"/>
              <w:ind w:left="106"/>
              <w:rPr>
                <w:sz w:val="21"/>
              </w:rPr>
            </w:pPr>
            <w:r>
              <w:rPr>
                <w:rFonts w:ascii="Calibri" w:eastAsia="Calibri"/>
                <w:sz w:val="21"/>
              </w:rPr>
              <w:t xml:space="preserve">5. </w:t>
            </w:r>
            <w:r>
              <w:rPr>
                <w:sz w:val="21"/>
              </w:rPr>
              <w:t>在地表水饮用水源一级保护区禁止下列行为： （</w:t>
            </w:r>
            <w:r>
              <w:rPr>
                <w:rFonts w:ascii="Calibri" w:eastAsia="Calibri"/>
                <w:sz w:val="21"/>
              </w:rPr>
              <w:t>1</w:t>
            </w:r>
            <w:r>
              <w:rPr>
                <w:sz w:val="21"/>
              </w:rPr>
              <w:t>）堆置、存放和向水体倾倒工业废渣、垃圾、粪便、油类，排放废水及其它废弃</w:t>
            </w:r>
          </w:p>
        </w:tc>
        <w:tc>
          <w:tcPr>
            <w:tcW w:w="5044"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line="260" w:lineRule="exact"/>
              <w:ind w:left="106"/>
              <w:rPr>
                <w:sz w:val="21"/>
              </w:rPr>
            </w:pPr>
            <w:r>
              <w:rPr>
                <w:sz w:val="21"/>
              </w:rPr>
              <w:t>物； （</w:t>
            </w:r>
            <w:r>
              <w:rPr>
                <w:rFonts w:ascii="Calibri" w:eastAsia="Calibri"/>
                <w:sz w:val="21"/>
              </w:rPr>
              <w:t>2</w:t>
            </w:r>
            <w:r>
              <w:rPr>
                <w:sz w:val="21"/>
              </w:rPr>
              <w:t>）新建、扩建对饮用水水源有污染的建设项目； （</w:t>
            </w:r>
            <w:r>
              <w:rPr>
                <w:rFonts w:ascii="Calibri" w:eastAsia="Calibri"/>
                <w:sz w:val="21"/>
              </w:rPr>
              <w:t>3</w:t>
            </w:r>
            <w:r>
              <w:rPr>
                <w:sz w:val="21"/>
              </w:rPr>
              <w:t>）设置新的排污口向水体排放污水； （</w:t>
            </w:r>
            <w:r>
              <w:rPr>
                <w:rFonts w:ascii="Calibri" w:eastAsia="Calibri"/>
                <w:sz w:val="21"/>
              </w:rPr>
              <w:t>4</w:t>
            </w:r>
            <w:r>
              <w:rPr>
                <w:sz w:val="21"/>
              </w:rPr>
              <w:t>）在水域中从事饲养禽畜、网</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line="260" w:lineRule="exact"/>
              <w:ind w:left="106"/>
              <w:rPr>
                <w:sz w:val="21"/>
              </w:rPr>
            </w:pPr>
            <w:r>
              <w:rPr>
                <w:sz w:val="21"/>
              </w:rPr>
              <w:t>箱养殖、开展水上旅游文娱体育活动以及其他影响饮用水源水质的活动； （</w:t>
            </w:r>
            <w:r>
              <w:rPr>
                <w:rFonts w:ascii="Calibri" w:eastAsia="Calibri"/>
                <w:sz w:val="21"/>
              </w:rPr>
              <w:t>5</w:t>
            </w:r>
            <w:r>
              <w:rPr>
                <w:sz w:val="21"/>
              </w:rPr>
              <w:t>）设置油库； （</w:t>
            </w:r>
            <w:r>
              <w:rPr>
                <w:rFonts w:ascii="Calibri" w:eastAsia="Calibri"/>
                <w:sz w:val="21"/>
              </w:rPr>
              <w:t>6</w:t>
            </w:r>
            <w:r>
              <w:rPr>
                <w:sz w:val="21"/>
              </w:rPr>
              <w:t>）破坏水源林、护岸林以及与水源保</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bottom w:val="nil"/>
            </w:tcBorders>
          </w:tcPr>
          <w:p>
            <w:pPr>
              <w:pStyle w:val="12"/>
              <w:rPr>
                <w:rFonts w:ascii="Times New Roman"/>
                <w:sz w:val="18"/>
              </w:rPr>
            </w:pPr>
          </w:p>
        </w:tc>
        <w:tc>
          <w:tcPr>
            <w:tcW w:w="12334" w:type="dxa"/>
            <w:tcBorders>
              <w:top w:val="nil"/>
            </w:tcBorders>
          </w:tcPr>
          <w:p>
            <w:pPr>
              <w:pStyle w:val="12"/>
              <w:spacing w:line="242" w:lineRule="exact"/>
              <w:ind w:left="106"/>
              <w:rPr>
                <w:sz w:val="21"/>
              </w:rPr>
            </w:pPr>
            <w:r>
              <w:rPr>
                <w:sz w:val="21"/>
              </w:rPr>
              <w:t>护相关的植被和其它破坏水生态环境的活动。</w:t>
            </w:r>
          </w:p>
        </w:tc>
        <w:tc>
          <w:tcPr>
            <w:tcW w:w="5044" w:type="dxa"/>
            <w:tcBorders>
              <w:top w:val="nil"/>
              <w:bottom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bottom w:val="nil"/>
            </w:tcBorders>
          </w:tcPr>
          <w:p>
            <w:pPr>
              <w:pStyle w:val="12"/>
              <w:spacing w:before="13" w:line="265" w:lineRule="exact"/>
              <w:ind w:left="106"/>
              <w:rPr>
                <w:sz w:val="21"/>
              </w:rPr>
            </w:pPr>
            <w:r>
              <w:rPr>
                <w:rFonts w:ascii="Calibri" w:eastAsia="Calibri"/>
                <w:sz w:val="21"/>
              </w:rPr>
              <w:t xml:space="preserve">6. </w:t>
            </w:r>
            <w:r>
              <w:rPr>
                <w:sz w:val="21"/>
              </w:rPr>
              <w:t>在地表水饮用水源二级保护区，必须遵守下列规定：（</w:t>
            </w:r>
            <w:r>
              <w:rPr>
                <w:rFonts w:ascii="Calibri" w:eastAsia="Calibri"/>
                <w:sz w:val="21"/>
              </w:rPr>
              <w:t>1</w:t>
            </w:r>
            <w:r>
              <w:rPr>
                <w:sz w:val="21"/>
              </w:rPr>
              <w:t>）不准新建、扩建有污染的建设项目及排污口，改建项目必须符合排放总</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line="260" w:lineRule="exact"/>
              <w:ind w:left="106"/>
              <w:rPr>
                <w:sz w:val="21"/>
              </w:rPr>
            </w:pPr>
            <w:r>
              <w:rPr>
                <w:sz w:val="21"/>
              </w:rPr>
              <w:t>量控制目标； （</w:t>
            </w:r>
            <w:r>
              <w:rPr>
                <w:rFonts w:ascii="Calibri" w:eastAsia="Calibri"/>
                <w:sz w:val="21"/>
              </w:rPr>
              <w:t>2</w:t>
            </w:r>
            <w:r>
              <w:rPr>
                <w:sz w:val="21"/>
              </w:rPr>
              <w:t>）原有的污染源，应进行治理，排放污染物必须限期达到规定的要求； （</w:t>
            </w:r>
            <w:r>
              <w:rPr>
                <w:rFonts w:ascii="Calibri" w:eastAsia="Calibri"/>
                <w:sz w:val="21"/>
              </w:rPr>
              <w:t>3</w:t>
            </w:r>
            <w:r>
              <w:rPr>
                <w:sz w:val="21"/>
              </w:rPr>
              <w:t>）开展旅游、养殖、水上运动等活动，</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138" w:type="dxa"/>
            <w:tcBorders>
              <w:top w:val="nil"/>
              <w:bottom w:val="nil"/>
            </w:tcBorders>
          </w:tcPr>
          <w:p>
            <w:pPr>
              <w:pStyle w:val="12"/>
              <w:rPr>
                <w:rFonts w:ascii="Times New Roman"/>
                <w:sz w:val="18"/>
              </w:rPr>
            </w:pPr>
          </w:p>
        </w:tc>
        <w:tc>
          <w:tcPr>
            <w:tcW w:w="1714" w:type="dxa"/>
            <w:tcBorders>
              <w:top w:val="nil"/>
              <w:bottom w:val="nil"/>
            </w:tcBorders>
          </w:tcPr>
          <w:p>
            <w:pPr>
              <w:pStyle w:val="12"/>
              <w:rPr>
                <w:rFonts w:ascii="Times New Roman"/>
                <w:sz w:val="18"/>
              </w:rPr>
            </w:pPr>
          </w:p>
        </w:tc>
        <w:tc>
          <w:tcPr>
            <w:tcW w:w="716" w:type="dxa"/>
            <w:tcBorders>
              <w:top w:val="nil"/>
            </w:tcBorders>
          </w:tcPr>
          <w:p>
            <w:pPr>
              <w:pStyle w:val="12"/>
              <w:rPr>
                <w:rFonts w:ascii="Times New Roman"/>
                <w:sz w:val="18"/>
              </w:rPr>
            </w:pPr>
          </w:p>
        </w:tc>
        <w:tc>
          <w:tcPr>
            <w:tcW w:w="12334" w:type="dxa"/>
            <w:tcBorders>
              <w:top w:val="nil"/>
            </w:tcBorders>
          </w:tcPr>
          <w:p>
            <w:pPr>
              <w:pStyle w:val="12"/>
              <w:spacing w:line="242" w:lineRule="exact"/>
              <w:ind w:left="106"/>
              <w:rPr>
                <w:sz w:val="21"/>
              </w:rPr>
            </w:pPr>
            <w:r>
              <w:rPr>
                <w:sz w:val="21"/>
              </w:rPr>
              <w:t>必须保证水质达到规定的要求； （</w:t>
            </w:r>
            <w:r>
              <w:rPr>
                <w:rFonts w:ascii="Calibri" w:eastAsia="Calibri"/>
                <w:sz w:val="21"/>
              </w:rPr>
              <w:t>4</w:t>
            </w:r>
            <w:r>
              <w:rPr>
                <w:sz w:val="21"/>
              </w:rPr>
              <w:t>）设置的码头不准装卸垃圾、粪便和有毒有害物品。</w:t>
            </w:r>
          </w:p>
        </w:tc>
        <w:tc>
          <w:tcPr>
            <w:tcW w:w="5044" w:type="dxa"/>
            <w:tcBorders>
              <w:top w:val="nil"/>
            </w:tcBorders>
          </w:tcPr>
          <w:p>
            <w:pPr>
              <w:pStyle w:val="12"/>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Pr>
          <w:p>
            <w:pPr>
              <w:pStyle w:val="12"/>
              <w:spacing w:before="23" w:line="237" w:lineRule="exact"/>
              <w:ind w:left="9"/>
              <w:jc w:val="center"/>
              <w:rPr>
                <w:rFonts w:ascii="Calibri"/>
                <w:sz w:val="21"/>
              </w:rPr>
            </w:pPr>
            <w:r>
              <w:rPr>
                <w:rFonts w:ascii="Calibri"/>
                <w:sz w:val="21"/>
              </w:rPr>
              <w:t>8</w:t>
            </w:r>
          </w:p>
        </w:tc>
        <w:tc>
          <w:tcPr>
            <w:tcW w:w="12334" w:type="dxa"/>
          </w:tcPr>
          <w:p>
            <w:pPr>
              <w:pStyle w:val="12"/>
              <w:spacing w:before="13" w:line="247" w:lineRule="exact"/>
              <w:ind w:left="106"/>
              <w:rPr>
                <w:sz w:val="21"/>
              </w:rPr>
            </w:pPr>
            <w:r>
              <w:rPr>
                <w:sz w:val="21"/>
              </w:rPr>
              <w:t>城镇设立的洗车站（点）应当设置泥沙过滤设施，禁止将泥沙直接排入城镇排水管沟。</w:t>
            </w:r>
          </w:p>
        </w:tc>
        <w:tc>
          <w:tcPr>
            <w:tcW w:w="5044" w:type="dxa"/>
          </w:tcPr>
          <w:p>
            <w:pPr>
              <w:pStyle w:val="12"/>
              <w:spacing w:before="13" w:line="247" w:lineRule="exact"/>
              <w:ind w:left="105"/>
              <w:rPr>
                <w:sz w:val="21"/>
              </w:rPr>
            </w:pPr>
            <w:r>
              <w:rPr>
                <w:sz w:val="21"/>
              </w:rPr>
              <w:t>《黔南布依族苗族自治州城镇建设管理条例》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bottom w:val="nil"/>
            </w:tcBorders>
          </w:tcPr>
          <w:p>
            <w:pPr>
              <w:pStyle w:val="12"/>
              <w:rPr>
                <w:rFonts w:ascii="Times New Roman"/>
                <w:sz w:val="20"/>
              </w:rPr>
            </w:pPr>
          </w:p>
        </w:tc>
        <w:tc>
          <w:tcPr>
            <w:tcW w:w="12334" w:type="dxa"/>
            <w:tcBorders>
              <w:bottom w:val="nil"/>
            </w:tcBorders>
          </w:tcPr>
          <w:p>
            <w:pPr>
              <w:pStyle w:val="12"/>
              <w:spacing w:before="13" w:line="265" w:lineRule="exact"/>
              <w:ind w:left="106"/>
              <w:rPr>
                <w:sz w:val="21"/>
              </w:rPr>
            </w:pPr>
            <w:r>
              <w:rPr>
                <w:rFonts w:ascii="Calibri" w:eastAsia="Calibri"/>
                <w:sz w:val="21"/>
              </w:rPr>
              <w:t xml:space="preserve">1. </w:t>
            </w:r>
            <w:r>
              <w:rPr>
                <w:sz w:val="21"/>
              </w:rPr>
              <w:t>在河道管理范围内禁止从事下列活动： （</w:t>
            </w:r>
            <w:r>
              <w:rPr>
                <w:rFonts w:ascii="Calibri" w:eastAsia="Calibri"/>
                <w:sz w:val="21"/>
              </w:rPr>
              <w:t>1</w:t>
            </w:r>
            <w:r>
              <w:rPr>
                <w:sz w:val="21"/>
              </w:rPr>
              <w:t>）建设妨碍行洪的建筑物、构筑物，从事影响河势稳定、危害河岸堤防安全和其他妨碍</w:t>
            </w:r>
          </w:p>
        </w:tc>
        <w:tc>
          <w:tcPr>
            <w:tcW w:w="5044" w:type="dxa"/>
            <w:tcBorders>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line="260" w:lineRule="exact"/>
              <w:ind w:left="106"/>
              <w:rPr>
                <w:sz w:val="21"/>
              </w:rPr>
            </w:pPr>
            <w:r>
              <w:rPr>
                <w:sz w:val="21"/>
              </w:rPr>
              <w:t>河道行洪的活动； （</w:t>
            </w:r>
            <w:r>
              <w:rPr>
                <w:rFonts w:ascii="Calibri" w:eastAsia="Calibri"/>
                <w:sz w:val="21"/>
              </w:rPr>
              <w:t>2</w:t>
            </w:r>
            <w:r>
              <w:rPr>
                <w:sz w:val="21"/>
              </w:rPr>
              <w:t>）围湖造地、围垦河道，种植阻碍行洪的林木及高秆作物； （</w:t>
            </w:r>
            <w:r>
              <w:rPr>
                <w:rFonts w:ascii="Calibri" w:eastAsia="Calibri"/>
                <w:sz w:val="21"/>
              </w:rPr>
              <w:t>3</w:t>
            </w:r>
            <w:r>
              <w:rPr>
                <w:sz w:val="21"/>
              </w:rPr>
              <w:t>）炸鱼、电鱼、毒鱼和设置拦河渔具及沉置船</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spacing w:before="144"/>
              <w:ind w:left="9"/>
              <w:jc w:val="center"/>
              <w:rPr>
                <w:rFonts w:ascii="Calibri"/>
                <w:sz w:val="21"/>
              </w:rPr>
            </w:pPr>
            <w:r>
              <w:rPr>
                <w:rFonts w:ascii="Calibri"/>
                <w:sz w:val="21"/>
              </w:rPr>
              <w:t>9</w:t>
            </w:r>
          </w:p>
        </w:tc>
        <w:tc>
          <w:tcPr>
            <w:tcW w:w="12334" w:type="dxa"/>
            <w:tcBorders>
              <w:top w:val="nil"/>
              <w:bottom w:val="nil"/>
            </w:tcBorders>
          </w:tcPr>
          <w:p>
            <w:pPr>
              <w:pStyle w:val="12"/>
              <w:spacing w:line="264" w:lineRule="exact"/>
              <w:ind w:left="106"/>
              <w:rPr>
                <w:sz w:val="21"/>
              </w:rPr>
            </w:pPr>
            <w:r>
              <w:rPr>
                <w:sz w:val="21"/>
              </w:rPr>
              <w:t>舶； （四）侵占、毁坏水工程及堤防、护岸等设施，毁坏防汛、水文监测、水文地质监测等设施。</w:t>
            </w:r>
          </w:p>
          <w:p>
            <w:pPr>
              <w:pStyle w:val="12"/>
              <w:spacing w:before="12" w:line="265" w:lineRule="exact"/>
              <w:ind w:left="106"/>
              <w:rPr>
                <w:sz w:val="21"/>
              </w:rPr>
            </w:pPr>
            <w:r>
              <w:rPr>
                <w:rFonts w:ascii="Calibri" w:eastAsia="Calibri"/>
                <w:sz w:val="21"/>
              </w:rPr>
              <w:t xml:space="preserve">2. </w:t>
            </w:r>
            <w:r>
              <w:rPr>
                <w:sz w:val="21"/>
              </w:rPr>
              <w:t>为防止水污染，剑江河流域禁止下列行为： （</w:t>
            </w:r>
            <w:r>
              <w:rPr>
                <w:rFonts w:ascii="Calibri" w:eastAsia="Calibri"/>
                <w:sz w:val="21"/>
              </w:rPr>
              <w:t>1</w:t>
            </w:r>
            <w:r>
              <w:rPr>
                <w:sz w:val="21"/>
              </w:rPr>
              <w:t>）向水体排放油类、酸液、碱液或者剧毒废液； （</w:t>
            </w:r>
            <w:r>
              <w:rPr>
                <w:rFonts w:ascii="Calibri" w:eastAsia="Calibri"/>
                <w:sz w:val="21"/>
              </w:rPr>
              <w:t>2</w:t>
            </w:r>
            <w:r>
              <w:rPr>
                <w:sz w:val="21"/>
              </w:rPr>
              <w:t>）在水体清洗装贮过油类或者</w:t>
            </w:r>
          </w:p>
        </w:tc>
        <w:tc>
          <w:tcPr>
            <w:tcW w:w="5044" w:type="dxa"/>
            <w:tcBorders>
              <w:top w:val="nil"/>
              <w:bottom w:val="nil"/>
            </w:tcBorders>
          </w:tcPr>
          <w:p>
            <w:pPr>
              <w:pStyle w:val="12"/>
              <w:spacing w:before="134"/>
              <w:ind w:left="105"/>
              <w:rPr>
                <w:sz w:val="21"/>
              </w:rPr>
            </w:pPr>
            <w:r>
              <w:rPr>
                <w:sz w:val="21"/>
              </w:rPr>
              <w:t>《黔南布依族苗族自治州剑江河流域保护条例》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38" w:type="dxa"/>
            <w:tcBorders>
              <w:top w:val="nil"/>
              <w:bottom w:val="nil"/>
            </w:tcBorders>
          </w:tcPr>
          <w:p>
            <w:pPr>
              <w:pStyle w:val="12"/>
              <w:rPr>
                <w:rFonts w:ascii="Times New Roman"/>
                <w:sz w:val="20"/>
              </w:rPr>
            </w:pPr>
          </w:p>
        </w:tc>
        <w:tc>
          <w:tcPr>
            <w:tcW w:w="1714" w:type="dxa"/>
            <w:tcBorders>
              <w:top w:val="nil"/>
              <w:bottom w:val="nil"/>
            </w:tcBorders>
          </w:tcPr>
          <w:p>
            <w:pPr>
              <w:pStyle w:val="12"/>
              <w:rPr>
                <w:rFonts w:ascii="Times New Roman"/>
                <w:sz w:val="20"/>
              </w:rPr>
            </w:pPr>
          </w:p>
        </w:tc>
        <w:tc>
          <w:tcPr>
            <w:tcW w:w="716" w:type="dxa"/>
            <w:tcBorders>
              <w:top w:val="nil"/>
              <w:bottom w:val="nil"/>
            </w:tcBorders>
          </w:tcPr>
          <w:p>
            <w:pPr>
              <w:pStyle w:val="12"/>
              <w:rPr>
                <w:rFonts w:ascii="Times New Roman"/>
                <w:sz w:val="20"/>
              </w:rPr>
            </w:pPr>
          </w:p>
        </w:tc>
        <w:tc>
          <w:tcPr>
            <w:tcW w:w="12334" w:type="dxa"/>
            <w:tcBorders>
              <w:top w:val="nil"/>
              <w:bottom w:val="nil"/>
            </w:tcBorders>
          </w:tcPr>
          <w:p>
            <w:pPr>
              <w:pStyle w:val="12"/>
              <w:spacing w:line="260" w:lineRule="exact"/>
              <w:ind w:left="106"/>
              <w:rPr>
                <w:sz w:val="21"/>
              </w:rPr>
            </w:pPr>
            <w:r>
              <w:rPr>
                <w:sz w:val="21"/>
              </w:rPr>
              <w:t>有毒污染物的车辆和容器； （</w:t>
            </w:r>
            <w:r>
              <w:rPr>
                <w:rFonts w:ascii="Calibri" w:eastAsia="Calibri"/>
                <w:sz w:val="21"/>
              </w:rPr>
              <w:t>3</w:t>
            </w:r>
            <w:r>
              <w:rPr>
                <w:sz w:val="21"/>
              </w:rPr>
              <w:t>）向水体排放、倾倒放射性固体废物或者含有高放射性和中放射性物质的废水； （</w:t>
            </w:r>
            <w:r>
              <w:rPr>
                <w:rFonts w:ascii="Calibri" w:eastAsia="Calibri"/>
                <w:sz w:val="21"/>
              </w:rPr>
              <w:t>4</w:t>
            </w:r>
            <w:r>
              <w:rPr>
                <w:sz w:val="21"/>
              </w:rPr>
              <w:t>）向水体排放、</w:t>
            </w:r>
          </w:p>
        </w:tc>
        <w:tc>
          <w:tcPr>
            <w:tcW w:w="5044" w:type="dxa"/>
            <w:tcBorders>
              <w:top w:val="nil"/>
              <w:bottom w:val="nil"/>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138" w:type="dxa"/>
            <w:tcBorders>
              <w:top w:val="nil"/>
            </w:tcBorders>
          </w:tcPr>
          <w:p>
            <w:pPr>
              <w:pStyle w:val="12"/>
              <w:rPr>
                <w:rFonts w:ascii="Times New Roman"/>
                <w:sz w:val="18"/>
              </w:rPr>
            </w:pPr>
          </w:p>
        </w:tc>
        <w:tc>
          <w:tcPr>
            <w:tcW w:w="1714" w:type="dxa"/>
            <w:tcBorders>
              <w:top w:val="nil"/>
            </w:tcBorders>
          </w:tcPr>
          <w:p>
            <w:pPr>
              <w:pStyle w:val="12"/>
              <w:rPr>
                <w:rFonts w:ascii="Times New Roman"/>
                <w:sz w:val="18"/>
              </w:rPr>
            </w:pPr>
          </w:p>
        </w:tc>
        <w:tc>
          <w:tcPr>
            <w:tcW w:w="716" w:type="dxa"/>
            <w:tcBorders>
              <w:top w:val="nil"/>
            </w:tcBorders>
          </w:tcPr>
          <w:p>
            <w:pPr>
              <w:pStyle w:val="12"/>
              <w:rPr>
                <w:rFonts w:ascii="Times New Roman"/>
                <w:sz w:val="18"/>
              </w:rPr>
            </w:pPr>
          </w:p>
        </w:tc>
        <w:tc>
          <w:tcPr>
            <w:tcW w:w="12334" w:type="dxa"/>
            <w:tcBorders>
              <w:top w:val="nil"/>
            </w:tcBorders>
          </w:tcPr>
          <w:p>
            <w:pPr>
              <w:pStyle w:val="12"/>
              <w:spacing w:line="242" w:lineRule="exact"/>
              <w:ind w:left="106"/>
              <w:rPr>
                <w:sz w:val="21"/>
              </w:rPr>
            </w:pPr>
            <w:r>
              <w:rPr>
                <w:sz w:val="21"/>
              </w:rPr>
              <w:t>倾倒工业废渣、垃圾和其他废弃物； （</w:t>
            </w:r>
            <w:r>
              <w:rPr>
                <w:rFonts w:ascii="Calibri" w:eastAsia="Calibri"/>
                <w:sz w:val="21"/>
              </w:rPr>
              <w:t>5</w:t>
            </w:r>
            <w:r>
              <w:rPr>
                <w:sz w:val="21"/>
              </w:rPr>
              <w:t>）利用渗井、渗坑、裂隙或者溶洞等向地下倾倒污水和其他废弃物，存贮有毒有害的废水、</w:t>
            </w:r>
          </w:p>
        </w:tc>
        <w:tc>
          <w:tcPr>
            <w:tcW w:w="5044" w:type="dxa"/>
            <w:tcBorders>
              <w:top w:val="nil"/>
            </w:tcBorders>
          </w:tcPr>
          <w:p>
            <w:pPr>
              <w:pStyle w:val="12"/>
              <w:rPr>
                <w:rFonts w:ascii="Times New Roman"/>
                <w:sz w:val="18"/>
              </w:rPr>
            </w:pPr>
          </w:p>
        </w:tc>
      </w:tr>
    </w:tbl>
    <w:p>
      <w:pPr>
        <w:rPr>
          <w:rFonts w:ascii="Times New Roman"/>
          <w:sz w:val="18"/>
        </w:rPr>
        <w:sectPr>
          <w:pgSz w:w="23760" w:h="16790" w:orient="landscape"/>
          <w:pgMar w:top="1080" w:right="660" w:bottom="1160" w:left="860" w:header="0" w:footer="894" w:gutter="0"/>
          <w:cols w:space="720" w:num="1"/>
        </w:sectPr>
      </w:pPr>
    </w:p>
    <w:tbl>
      <w:tblPr>
        <w:tblStyle w:val="3"/>
        <w:tblW w:w="20946"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1714"/>
        <w:gridCol w:w="716"/>
        <w:gridCol w:w="12334"/>
        <w:gridCol w:w="5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138" w:type="dxa"/>
          </w:tcPr>
          <w:p>
            <w:pPr>
              <w:pStyle w:val="12"/>
              <w:spacing w:line="222" w:lineRule="exact"/>
              <w:ind w:left="357"/>
              <w:rPr>
                <w:b/>
                <w:sz w:val="21"/>
              </w:rPr>
            </w:pPr>
            <w:r>
              <w:rPr>
                <w:b/>
                <w:sz w:val="21"/>
              </w:rPr>
              <w:t>维度</w:t>
            </w:r>
          </w:p>
        </w:tc>
        <w:tc>
          <w:tcPr>
            <w:tcW w:w="1714" w:type="dxa"/>
          </w:tcPr>
          <w:p>
            <w:pPr>
              <w:pStyle w:val="12"/>
              <w:spacing w:line="222" w:lineRule="exact"/>
              <w:ind w:left="223"/>
              <w:rPr>
                <w:b/>
                <w:sz w:val="21"/>
              </w:rPr>
            </w:pPr>
            <w:r>
              <w:rPr>
                <w:b/>
                <w:sz w:val="21"/>
              </w:rPr>
              <w:t>清单编制要求</w:t>
            </w:r>
          </w:p>
        </w:tc>
        <w:tc>
          <w:tcPr>
            <w:tcW w:w="716" w:type="dxa"/>
          </w:tcPr>
          <w:p>
            <w:pPr>
              <w:pStyle w:val="12"/>
              <w:spacing w:line="222" w:lineRule="exact"/>
              <w:ind w:left="126" w:right="118"/>
              <w:jc w:val="center"/>
              <w:rPr>
                <w:b/>
                <w:sz w:val="21"/>
              </w:rPr>
            </w:pPr>
            <w:r>
              <w:rPr>
                <w:b/>
                <w:sz w:val="21"/>
              </w:rPr>
              <w:t>序号</w:t>
            </w:r>
          </w:p>
        </w:tc>
        <w:tc>
          <w:tcPr>
            <w:tcW w:w="12334" w:type="dxa"/>
          </w:tcPr>
          <w:p>
            <w:pPr>
              <w:pStyle w:val="12"/>
              <w:spacing w:line="222" w:lineRule="exact"/>
              <w:ind w:left="5722" w:right="5717"/>
              <w:jc w:val="center"/>
              <w:rPr>
                <w:b/>
                <w:sz w:val="21"/>
              </w:rPr>
            </w:pPr>
            <w:r>
              <w:rPr>
                <w:b/>
                <w:sz w:val="21"/>
              </w:rPr>
              <w:t>准入要求</w:t>
            </w:r>
          </w:p>
        </w:tc>
        <w:tc>
          <w:tcPr>
            <w:tcW w:w="5044" w:type="dxa"/>
          </w:tcPr>
          <w:p>
            <w:pPr>
              <w:pStyle w:val="12"/>
              <w:spacing w:line="222" w:lineRule="exact"/>
              <w:ind w:left="2077" w:right="2072"/>
              <w:jc w:val="center"/>
              <w:rPr>
                <w:b/>
                <w:sz w:val="21"/>
              </w:rPr>
            </w:pPr>
            <w:r>
              <w:rPr>
                <w:b/>
                <w:sz w:val="21"/>
              </w:rPr>
              <w:t>编制依据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38" w:type="dxa"/>
          </w:tcPr>
          <w:p>
            <w:pPr>
              <w:pStyle w:val="12"/>
              <w:rPr>
                <w:rFonts w:ascii="Times New Roman"/>
                <w:sz w:val="20"/>
              </w:rPr>
            </w:pPr>
          </w:p>
        </w:tc>
        <w:tc>
          <w:tcPr>
            <w:tcW w:w="1714" w:type="dxa"/>
          </w:tcPr>
          <w:p>
            <w:pPr>
              <w:pStyle w:val="12"/>
              <w:rPr>
                <w:rFonts w:ascii="Times New Roman"/>
                <w:sz w:val="20"/>
              </w:rPr>
            </w:pPr>
          </w:p>
        </w:tc>
        <w:tc>
          <w:tcPr>
            <w:tcW w:w="716" w:type="dxa"/>
          </w:tcPr>
          <w:p>
            <w:pPr>
              <w:pStyle w:val="12"/>
              <w:rPr>
                <w:rFonts w:ascii="Times New Roman"/>
                <w:sz w:val="20"/>
              </w:rPr>
            </w:pPr>
          </w:p>
        </w:tc>
        <w:tc>
          <w:tcPr>
            <w:tcW w:w="12334" w:type="dxa"/>
          </w:tcPr>
          <w:p>
            <w:pPr>
              <w:pStyle w:val="12"/>
              <w:spacing w:before="2" w:line="280" w:lineRule="atLeast"/>
              <w:ind w:left="106" w:right="96"/>
              <w:rPr>
                <w:sz w:val="21"/>
              </w:rPr>
            </w:pPr>
            <w:r>
              <w:rPr>
                <w:spacing w:val="-3"/>
                <w:sz w:val="21"/>
              </w:rPr>
              <w:t>污水、垃圾等污染物；</w:t>
            </w:r>
            <w:r>
              <w:rPr>
                <w:spacing w:val="-62"/>
                <w:sz w:val="21"/>
              </w:rPr>
              <w:t xml:space="preserve"> </w:t>
            </w:r>
            <w:r>
              <w:rPr>
                <w:spacing w:val="-3"/>
                <w:sz w:val="21"/>
              </w:rPr>
              <w:t>（</w:t>
            </w:r>
            <w:r>
              <w:rPr>
                <w:rFonts w:ascii="Calibri" w:eastAsia="Calibri"/>
                <w:sz w:val="21"/>
              </w:rPr>
              <w:t>6</w:t>
            </w:r>
            <w:r>
              <w:rPr>
                <w:spacing w:val="-3"/>
                <w:sz w:val="21"/>
              </w:rPr>
              <w:t>）</w:t>
            </w:r>
            <w:r>
              <w:rPr>
                <w:spacing w:val="-10"/>
                <w:sz w:val="21"/>
              </w:rPr>
              <w:t>污染、侵占、填埋地下水出露泉点；</w:t>
            </w:r>
            <w:r>
              <w:rPr>
                <w:spacing w:val="-1"/>
                <w:sz w:val="21"/>
              </w:rPr>
              <w:t>（</w:t>
            </w:r>
            <w:r>
              <w:rPr>
                <w:rFonts w:ascii="Calibri" w:eastAsia="Calibri"/>
                <w:sz w:val="21"/>
              </w:rPr>
              <w:t>7</w:t>
            </w:r>
            <w:r>
              <w:rPr>
                <w:spacing w:val="-5"/>
                <w:sz w:val="21"/>
              </w:rPr>
              <w:t>）</w:t>
            </w:r>
            <w:r>
              <w:rPr>
                <w:spacing w:val="-3"/>
                <w:sz w:val="21"/>
              </w:rPr>
              <w:t>利用无防渗漏措施的沟渠、坑塘等输送或者存贮含毒污染物的废水、含病原体的污水和其他废弃物。</w:t>
            </w:r>
          </w:p>
        </w:tc>
        <w:tc>
          <w:tcPr>
            <w:tcW w:w="504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38"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6"/>
              <w:rPr>
                <w:b/>
                <w:sz w:val="19"/>
              </w:rPr>
            </w:pPr>
          </w:p>
          <w:p>
            <w:pPr>
              <w:pStyle w:val="12"/>
              <w:ind w:left="107" w:right="92"/>
              <w:rPr>
                <w:sz w:val="21"/>
              </w:rPr>
            </w:pPr>
            <w:r>
              <w:rPr>
                <w:sz w:val="21"/>
              </w:rPr>
              <w:t>空间布局约束</w:t>
            </w:r>
          </w:p>
        </w:tc>
        <w:tc>
          <w:tcPr>
            <w:tcW w:w="171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6"/>
              <w:rPr>
                <w:b/>
                <w:sz w:val="18"/>
              </w:rPr>
            </w:pPr>
          </w:p>
          <w:p>
            <w:pPr>
              <w:pStyle w:val="12"/>
              <w:ind w:left="107" w:right="97"/>
              <w:rPr>
                <w:sz w:val="21"/>
              </w:rPr>
            </w:pPr>
            <w:r>
              <w:rPr>
                <w:sz w:val="21"/>
              </w:rPr>
              <w:t>禁止开发建设活动的要求</w:t>
            </w:r>
          </w:p>
        </w:tc>
        <w:tc>
          <w:tcPr>
            <w:tcW w:w="716" w:type="dxa"/>
            <w:vMerge w:val="restart"/>
          </w:tcPr>
          <w:p>
            <w:pPr>
              <w:pStyle w:val="12"/>
              <w:rPr>
                <w:b/>
                <w:sz w:val="20"/>
              </w:rPr>
            </w:pPr>
          </w:p>
          <w:p>
            <w:pPr>
              <w:pStyle w:val="12"/>
              <w:spacing w:before="162"/>
              <w:ind w:left="126" w:right="114"/>
              <w:jc w:val="center"/>
              <w:rPr>
                <w:rFonts w:ascii="Calibri"/>
                <w:sz w:val="21"/>
              </w:rPr>
            </w:pPr>
            <w:r>
              <w:rPr>
                <w:rFonts w:ascii="Calibri"/>
                <w:sz w:val="21"/>
              </w:rPr>
              <w:t>10</w:t>
            </w:r>
          </w:p>
        </w:tc>
        <w:tc>
          <w:tcPr>
            <w:tcW w:w="12334" w:type="dxa"/>
          </w:tcPr>
          <w:p>
            <w:pPr>
              <w:pStyle w:val="12"/>
              <w:spacing w:line="269" w:lineRule="exact"/>
              <w:ind w:left="106"/>
              <w:rPr>
                <w:sz w:val="21"/>
              </w:rPr>
            </w:pPr>
            <w:r>
              <w:rPr>
                <w:rFonts w:ascii="Calibri" w:eastAsia="Calibri"/>
                <w:sz w:val="21"/>
              </w:rPr>
              <w:t xml:space="preserve">1. </w:t>
            </w:r>
            <w:r>
              <w:rPr>
                <w:sz w:val="21"/>
              </w:rPr>
              <w:t>喀斯特地貌区位于黔南州西部和东南部，以原生态环境保护为重点，严格禁止大规模城市建设，核心地区的开发利用应以保护为</w:t>
            </w:r>
          </w:p>
          <w:p>
            <w:pPr>
              <w:pStyle w:val="12"/>
              <w:spacing w:line="245" w:lineRule="exact"/>
              <w:ind w:left="106"/>
              <w:rPr>
                <w:sz w:val="21"/>
              </w:rPr>
            </w:pPr>
            <w:r>
              <w:rPr>
                <w:sz w:val="21"/>
              </w:rPr>
              <w:t>前提，做到科学规划、合理利用。</w:t>
            </w:r>
          </w:p>
        </w:tc>
        <w:tc>
          <w:tcPr>
            <w:tcW w:w="5044" w:type="dxa"/>
            <w:vMerge w:val="restart"/>
          </w:tcPr>
          <w:p>
            <w:pPr>
              <w:pStyle w:val="12"/>
              <w:spacing w:before="2"/>
              <w:rPr>
                <w:b/>
                <w:sz w:val="21"/>
              </w:rPr>
            </w:pPr>
          </w:p>
          <w:p>
            <w:pPr>
              <w:pStyle w:val="12"/>
              <w:ind w:left="105"/>
              <w:rPr>
                <w:sz w:val="21"/>
              </w:rPr>
            </w:pPr>
            <w:r>
              <w:rPr>
                <w:sz w:val="21"/>
              </w:rPr>
              <w:t>《黔南布依族苗族自治州城镇体系规划》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line="266" w:lineRule="exact"/>
              <w:ind w:left="106" w:right="-15"/>
              <w:rPr>
                <w:sz w:val="21"/>
              </w:rPr>
            </w:pPr>
            <w:r>
              <w:rPr>
                <w:rFonts w:ascii="Calibri" w:eastAsia="Calibri"/>
                <w:sz w:val="21"/>
              </w:rPr>
              <w:t>2.</w:t>
            </w:r>
            <w:r>
              <w:rPr>
                <w:rFonts w:ascii="Calibri" w:eastAsia="Calibri"/>
                <w:spacing w:val="17"/>
                <w:sz w:val="21"/>
              </w:rPr>
              <w:t xml:space="preserve"> </w:t>
            </w:r>
            <w:r>
              <w:rPr>
                <w:spacing w:val="-5"/>
                <w:sz w:val="21"/>
              </w:rPr>
              <w:t xml:space="preserve">禁止开采自然保护区、水源地、森林公园、风景名胜区、重要设施保护区等区域内的矿产资源。禁止开采在现有技术经济条件下， </w:t>
            </w:r>
            <w:r>
              <w:rPr>
                <w:spacing w:val="-4"/>
                <w:sz w:val="21"/>
              </w:rPr>
              <w:t>达不到资源合理利用、整体开发等要求、严重危害生态系统或人居环境的矿产资源区。</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rPr>
                <w:b/>
                <w:sz w:val="20"/>
              </w:rPr>
            </w:pPr>
          </w:p>
          <w:p>
            <w:pPr>
              <w:pStyle w:val="12"/>
              <w:rPr>
                <w:b/>
                <w:sz w:val="23"/>
              </w:rPr>
            </w:pPr>
          </w:p>
          <w:p>
            <w:pPr>
              <w:pStyle w:val="12"/>
              <w:ind w:left="126" w:right="114"/>
              <w:jc w:val="center"/>
              <w:rPr>
                <w:rFonts w:ascii="Calibri"/>
                <w:sz w:val="21"/>
              </w:rPr>
            </w:pPr>
            <w:r>
              <w:rPr>
                <w:rFonts w:ascii="Calibri"/>
                <w:sz w:val="21"/>
              </w:rPr>
              <w:t>11</w:t>
            </w:r>
          </w:p>
        </w:tc>
        <w:tc>
          <w:tcPr>
            <w:tcW w:w="12334" w:type="dxa"/>
          </w:tcPr>
          <w:p>
            <w:pPr>
              <w:pStyle w:val="12"/>
              <w:numPr>
                <w:ilvl w:val="0"/>
                <w:numId w:val="40"/>
              </w:numPr>
              <w:tabs>
                <w:tab w:val="left" w:pos="269"/>
              </w:tabs>
              <w:spacing w:before="3"/>
              <w:ind w:right="95" w:firstLine="0"/>
              <w:rPr>
                <w:sz w:val="21"/>
              </w:rPr>
            </w:pPr>
            <w:r>
              <w:rPr>
                <w:spacing w:val="-5"/>
                <w:sz w:val="21"/>
              </w:rPr>
              <w:t>水生态环境保护区内不得新建污染重的工厂，排放剧毒物质的工厂要搬迁。严禁把未经处理的垃圾、废渣、废水直接排入洼地、漏</w:t>
            </w:r>
            <w:r>
              <w:rPr>
                <w:spacing w:val="-4"/>
                <w:sz w:val="21"/>
              </w:rPr>
              <w:t>斗和落水洞中。</w:t>
            </w:r>
          </w:p>
          <w:p>
            <w:pPr>
              <w:pStyle w:val="12"/>
              <w:numPr>
                <w:ilvl w:val="0"/>
                <w:numId w:val="40"/>
              </w:numPr>
              <w:tabs>
                <w:tab w:val="left" w:pos="373"/>
              </w:tabs>
              <w:spacing w:before="2" w:line="237" w:lineRule="auto"/>
              <w:ind w:right="96" w:firstLine="0"/>
              <w:rPr>
                <w:sz w:val="21"/>
              </w:rPr>
            </w:pPr>
            <w:r>
              <w:rPr>
                <w:spacing w:val="-1"/>
                <w:sz w:val="21"/>
              </w:rPr>
              <w:t>对自然保护区、风景名胜区、世界自然遗产地、森林公园、地质公园、湿地公园、水源保护区，严禁一切与保护目标不一致的开</w:t>
            </w:r>
            <w:r>
              <w:rPr>
                <w:spacing w:val="-9"/>
                <w:sz w:val="21"/>
              </w:rPr>
              <w:t>发建设活动，禁止进行活立木移植、挖掘、开垦、采石、采集珍稀植物等破坏森林植被和森林生态功能的活动，经批准在实施的各种</w:t>
            </w:r>
          </w:p>
          <w:p>
            <w:pPr>
              <w:pStyle w:val="12"/>
              <w:spacing w:line="245" w:lineRule="exact"/>
              <w:ind w:left="106"/>
              <w:rPr>
                <w:sz w:val="21"/>
              </w:rPr>
            </w:pPr>
            <w:r>
              <w:rPr>
                <w:sz w:val="21"/>
              </w:rPr>
              <w:t>经营活动，应体现保护优先原则。</w:t>
            </w:r>
          </w:p>
        </w:tc>
        <w:tc>
          <w:tcPr>
            <w:tcW w:w="5044" w:type="dxa"/>
          </w:tcPr>
          <w:p>
            <w:pPr>
              <w:pStyle w:val="12"/>
              <w:rPr>
                <w:b/>
                <w:sz w:val="20"/>
              </w:rPr>
            </w:pPr>
          </w:p>
          <w:p>
            <w:pPr>
              <w:pStyle w:val="12"/>
              <w:spacing w:before="5"/>
              <w:rPr>
                <w:b/>
              </w:rPr>
            </w:pPr>
          </w:p>
          <w:p>
            <w:pPr>
              <w:pStyle w:val="12"/>
              <w:ind w:left="105"/>
              <w:rPr>
                <w:sz w:val="21"/>
              </w:rPr>
            </w:pPr>
            <w:r>
              <w:rPr>
                <w:sz w:val="21"/>
              </w:rPr>
              <w:t>《黔南州“十三五”生态建设规划》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48"/>
              <w:ind w:left="126" w:right="114"/>
              <w:jc w:val="center"/>
              <w:rPr>
                <w:rFonts w:ascii="Calibri"/>
                <w:sz w:val="21"/>
              </w:rPr>
            </w:pPr>
            <w:r>
              <w:rPr>
                <w:rFonts w:ascii="Calibri"/>
                <w:sz w:val="21"/>
              </w:rPr>
              <w:t>12</w:t>
            </w:r>
          </w:p>
        </w:tc>
        <w:tc>
          <w:tcPr>
            <w:tcW w:w="12334" w:type="dxa"/>
          </w:tcPr>
          <w:p>
            <w:pPr>
              <w:pStyle w:val="12"/>
              <w:numPr>
                <w:ilvl w:val="0"/>
                <w:numId w:val="41"/>
              </w:numPr>
              <w:tabs>
                <w:tab w:val="left" w:pos="269"/>
              </w:tabs>
              <w:spacing w:before="3" w:line="268" w:lineRule="exact"/>
              <w:rPr>
                <w:sz w:val="21"/>
              </w:rPr>
            </w:pPr>
            <w:r>
              <w:rPr>
                <w:spacing w:val="-3"/>
                <w:sz w:val="21"/>
              </w:rPr>
              <w:t>任何单位和个人不得擅自移动或者损坏岩溶资源保护的设施和标志。</w:t>
            </w:r>
          </w:p>
          <w:p>
            <w:pPr>
              <w:pStyle w:val="12"/>
              <w:numPr>
                <w:ilvl w:val="0"/>
                <w:numId w:val="41"/>
              </w:numPr>
              <w:tabs>
                <w:tab w:val="left" w:pos="373"/>
              </w:tabs>
              <w:spacing w:line="244" w:lineRule="exact"/>
              <w:ind w:left="373" w:hanging="267"/>
              <w:rPr>
                <w:sz w:val="21"/>
              </w:rPr>
            </w:pPr>
            <w:r>
              <w:rPr>
                <w:spacing w:val="-3"/>
                <w:sz w:val="21"/>
              </w:rPr>
              <w:t>任何单位和个人不得在岩溶资源保护范围内进行垦荒、堆放废弃物及其他损害岩溶资源的活动；不得修建有损岩溶资源的设施；</w:t>
            </w:r>
          </w:p>
        </w:tc>
        <w:tc>
          <w:tcPr>
            <w:tcW w:w="5044" w:type="dxa"/>
          </w:tcPr>
          <w:p>
            <w:pPr>
              <w:pStyle w:val="12"/>
              <w:spacing w:before="140"/>
              <w:ind w:left="105"/>
              <w:rPr>
                <w:sz w:val="21"/>
              </w:rPr>
            </w:pPr>
            <w:r>
              <w:rPr>
                <w:sz w:val="21"/>
              </w:rPr>
              <w:t>《黔南布依族苗族自治州岩溶资源保护条例》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rPr>
                <w:b/>
                <w:sz w:val="20"/>
              </w:rPr>
            </w:pPr>
          </w:p>
          <w:p>
            <w:pPr>
              <w:pStyle w:val="12"/>
              <w:rPr>
                <w:b/>
                <w:sz w:val="20"/>
              </w:rPr>
            </w:pPr>
          </w:p>
          <w:p>
            <w:pPr>
              <w:pStyle w:val="12"/>
              <w:spacing w:before="170"/>
              <w:ind w:left="126" w:right="114"/>
              <w:jc w:val="center"/>
              <w:rPr>
                <w:rFonts w:ascii="Calibri"/>
                <w:sz w:val="21"/>
              </w:rPr>
            </w:pPr>
            <w:r>
              <w:rPr>
                <w:rFonts w:ascii="Calibri"/>
                <w:sz w:val="21"/>
              </w:rPr>
              <w:t>13</w:t>
            </w:r>
          </w:p>
        </w:tc>
        <w:tc>
          <w:tcPr>
            <w:tcW w:w="12334" w:type="dxa"/>
          </w:tcPr>
          <w:p>
            <w:pPr>
              <w:pStyle w:val="12"/>
              <w:spacing w:before="3"/>
              <w:ind w:left="106" w:right="95"/>
              <w:rPr>
                <w:sz w:val="21"/>
              </w:rPr>
            </w:pPr>
            <w:r>
              <w:rPr>
                <w:spacing w:val="-4"/>
                <w:sz w:val="21"/>
              </w:rPr>
              <w:t>黔中水利枢纽工程保护范围</w:t>
            </w:r>
            <w:r>
              <w:rPr>
                <w:sz w:val="21"/>
              </w:rPr>
              <w:t>（</w:t>
            </w:r>
            <w:r>
              <w:rPr>
                <w:spacing w:val="-6"/>
                <w:sz w:val="21"/>
              </w:rPr>
              <w:t>坝址以上、库区两岸</w:t>
            </w:r>
            <w:r>
              <w:rPr>
                <w:sz w:val="21"/>
              </w:rPr>
              <w:t>（</w:t>
            </w:r>
            <w:r>
              <w:rPr>
                <w:spacing w:val="-4"/>
                <w:sz w:val="21"/>
              </w:rPr>
              <w:t>包括干、支流</w:t>
            </w:r>
            <w:r>
              <w:rPr>
                <w:spacing w:val="-10"/>
                <w:sz w:val="21"/>
              </w:rPr>
              <w:t>）</w:t>
            </w:r>
            <w:r>
              <w:rPr>
                <w:spacing w:val="-5"/>
                <w:sz w:val="21"/>
              </w:rPr>
              <w:t>管理范围以上至第一道分水岭脊线之间的陆地；大坝、溢洪道及</w:t>
            </w:r>
            <w:r>
              <w:rPr>
                <w:spacing w:val="-6"/>
                <w:sz w:val="21"/>
              </w:rPr>
              <w:t xml:space="preserve">泄洪放空洞、发电引水隧洞、灌溉及供水隧洞、电站厂房、变电站工程管理范围边界两侧外延 </w:t>
            </w:r>
            <w:r>
              <w:rPr>
                <w:rFonts w:ascii="Calibri" w:eastAsia="Calibri"/>
                <w:sz w:val="21"/>
              </w:rPr>
              <w:t xml:space="preserve">200 </w:t>
            </w:r>
            <w:r>
              <w:rPr>
                <w:spacing w:val="-3"/>
                <w:sz w:val="21"/>
              </w:rPr>
              <w:t>米之间区域；</w:t>
            </w:r>
          </w:p>
          <w:p>
            <w:pPr>
              <w:pStyle w:val="12"/>
              <w:spacing w:line="267" w:lineRule="exact"/>
              <w:ind w:left="106"/>
              <w:rPr>
                <w:sz w:val="21"/>
              </w:rPr>
            </w:pPr>
            <w:r>
              <w:rPr>
                <w:spacing w:val="-6"/>
                <w:sz w:val="21"/>
              </w:rPr>
              <w:t xml:space="preserve">输水隧洞、渡槽工程管理范围边界两侧外延 </w:t>
            </w:r>
            <w:r>
              <w:rPr>
                <w:rFonts w:ascii="Calibri" w:eastAsia="Calibri"/>
                <w:sz w:val="21"/>
              </w:rPr>
              <w:t xml:space="preserve">200 </w:t>
            </w:r>
            <w:r>
              <w:rPr>
                <w:spacing w:val="-11"/>
                <w:sz w:val="21"/>
              </w:rPr>
              <w:t>米，输水河道、渠道、管道、箱涵、暗渠、倒虹管、泵站及分水建筑物工程管理范围</w:t>
            </w:r>
          </w:p>
          <w:p>
            <w:pPr>
              <w:pStyle w:val="12"/>
              <w:ind w:left="106" w:right="28"/>
              <w:rPr>
                <w:sz w:val="21"/>
              </w:rPr>
            </w:pPr>
            <w:r>
              <w:rPr>
                <w:spacing w:val="-2"/>
                <w:sz w:val="21"/>
              </w:rPr>
              <w:t>边界两侧外延</w:t>
            </w:r>
            <w:r>
              <w:rPr>
                <w:spacing w:val="-55"/>
                <w:sz w:val="21"/>
              </w:rPr>
              <w:t xml:space="preserve"> </w:t>
            </w:r>
            <w:r>
              <w:rPr>
                <w:rFonts w:ascii="Calibri" w:eastAsia="Calibri"/>
                <w:spacing w:val="-2"/>
                <w:sz w:val="21"/>
              </w:rPr>
              <w:t>5</w:t>
            </w:r>
            <w:r>
              <w:rPr>
                <w:rFonts w:ascii="Calibri" w:eastAsia="Calibri"/>
                <w:sz w:val="21"/>
              </w:rPr>
              <w:t xml:space="preserve">0 </w:t>
            </w:r>
            <w:r>
              <w:rPr>
                <w:sz w:val="21"/>
              </w:rPr>
              <w:t>米</w:t>
            </w:r>
            <w:r>
              <w:rPr>
                <w:spacing w:val="-108"/>
                <w:sz w:val="21"/>
              </w:rPr>
              <w:t>）</w:t>
            </w:r>
            <w:r>
              <w:rPr>
                <w:spacing w:val="-8"/>
                <w:sz w:val="21"/>
              </w:rPr>
              <w:t>：禁止开荒、挖洞、挖塘、建窑、弃渣、水产养殖；爆破、打井、采矿、钻探；建造、设立生产、加工、储存或</w:t>
            </w:r>
            <w:r>
              <w:rPr>
                <w:spacing w:val="-5"/>
                <w:sz w:val="21"/>
              </w:rPr>
              <w:t>者销售易燃、易爆、剧毒、放射性等危险物品的场所、仓库；新建、改建、扩建影响工程安全与正常运行的建筑物、构筑物及设施；</w:t>
            </w:r>
          </w:p>
          <w:p>
            <w:pPr>
              <w:pStyle w:val="12"/>
              <w:spacing w:line="242" w:lineRule="exact"/>
              <w:ind w:left="106"/>
              <w:rPr>
                <w:sz w:val="21"/>
              </w:rPr>
            </w:pPr>
            <w:r>
              <w:rPr>
                <w:sz w:val="21"/>
              </w:rPr>
              <w:t>侵占、拆除、损毁工程设施及其附属设施、设备。</w:t>
            </w:r>
          </w:p>
        </w:tc>
        <w:tc>
          <w:tcPr>
            <w:tcW w:w="5044" w:type="dxa"/>
          </w:tcPr>
          <w:p>
            <w:pPr>
              <w:pStyle w:val="12"/>
              <w:rPr>
                <w:b/>
                <w:sz w:val="20"/>
              </w:rPr>
            </w:pPr>
          </w:p>
          <w:p>
            <w:pPr>
              <w:pStyle w:val="12"/>
              <w:rPr>
                <w:b/>
                <w:sz w:val="20"/>
              </w:rPr>
            </w:pPr>
          </w:p>
          <w:p>
            <w:pPr>
              <w:pStyle w:val="12"/>
              <w:spacing w:before="165"/>
              <w:ind w:left="105"/>
              <w:rPr>
                <w:sz w:val="21"/>
              </w:rPr>
            </w:pPr>
            <w:r>
              <w:rPr>
                <w:sz w:val="21"/>
              </w:rPr>
              <w:t>《贵州黔中水利枢纽工程管理条例》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138" w:type="dxa"/>
            <w:vMerge w:val="continue"/>
            <w:tcBorders>
              <w:top w:val="nil"/>
            </w:tcBorders>
          </w:tcPr>
          <w:p>
            <w:pPr>
              <w:rPr>
                <w:sz w:val="2"/>
                <w:szCs w:val="2"/>
              </w:rPr>
            </w:pPr>
          </w:p>
        </w:tc>
        <w:tc>
          <w:tcPr>
            <w:tcW w:w="171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0"/>
              <w:rPr>
                <w:b/>
                <w:sz w:val="14"/>
              </w:rPr>
            </w:pPr>
          </w:p>
          <w:p>
            <w:pPr>
              <w:pStyle w:val="12"/>
              <w:spacing w:line="237" w:lineRule="auto"/>
              <w:ind w:left="107" w:right="98"/>
              <w:rPr>
                <w:sz w:val="21"/>
              </w:rPr>
            </w:pPr>
            <w:r>
              <w:rPr>
                <w:sz w:val="21"/>
              </w:rPr>
              <w:t>限制开发建设活动的要求</w:t>
            </w:r>
          </w:p>
        </w:tc>
        <w:tc>
          <w:tcPr>
            <w:tcW w:w="716" w:type="dxa"/>
          </w:tcPr>
          <w:p>
            <w:pPr>
              <w:pStyle w:val="12"/>
              <w:rPr>
                <w:b/>
              </w:rPr>
            </w:pPr>
          </w:p>
          <w:p>
            <w:pPr>
              <w:pStyle w:val="12"/>
              <w:ind w:left="126" w:right="114"/>
              <w:jc w:val="center"/>
              <w:rPr>
                <w:rFonts w:ascii="Calibri"/>
                <w:sz w:val="21"/>
              </w:rPr>
            </w:pPr>
            <w:r>
              <w:rPr>
                <w:rFonts w:ascii="Calibri"/>
                <w:sz w:val="21"/>
              </w:rPr>
              <w:t>14</w:t>
            </w:r>
          </w:p>
        </w:tc>
        <w:tc>
          <w:tcPr>
            <w:tcW w:w="12334" w:type="dxa"/>
          </w:tcPr>
          <w:p>
            <w:pPr>
              <w:pStyle w:val="12"/>
              <w:spacing w:before="3"/>
              <w:ind w:left="106" w:right="96"/>
              <w:rPr>
                <w:sz w:val="21"/>
              </w:rPr>
            </w:pPr>
            <w:r>
              <w:rPr>
                <w:rFonts w:ascii="Calibri" w:eastAsia="Calibri"/>
                <w:sz w:val="21"/>
              </w:rPr>
              <w:t>1</w:t>
            </w:r>
            <w:r>
              <w:rPr>
                <w:spacing w:val="-4"/>
                <w:sz w:val="21"/>
              </w:rPr>
              <w:t>、在樟江流域河道管理范围内，未经批准不得从事以下活动</w:t>
            </w:r>
            <w:r>
              <w:rPr>
                <w:rFonts w:ascii="Calibri" w:eastAsia="Calibri"/>
                <w:spacing w:val="-3"/>
                <w:sz w:val="21"/>
              </w:rPr>
              <w:t>:</w:t>
            </w:r>
            <w:r>
              <w:rPr>
                <w:spacing w:val="-3"/>
                <w:sz w:val="21"/>
              </w:rPr>
              <w:t>（</w:t>
            </w:r>
            <w:r>
              <w:rPr>
                <w:sz w:val="21"/>
              </w:rPr>
              <w:t>一</w:t>
            </w:r>
            <w:r>
              <w:rPr>
                <w:spacing w:val="-3"/>
                <w:sz w:val="21"/>
              </w:rPr>
              <w:t>）</w:t>
            </w:r>
            <w:r>
              <w:rPr>
                <w:spacing w:val="-5"/>
                <w:sz w:val="21"/>
              </w:rPr>
              <w:t>修建水工程，或者建设桥梁、码头和其他拦河、跨河、临河建筑</w:t>
            </w:r>
            <w:r>
              <w:rPr>
                <w:spacing w:val="-11"/>
                <w:sz w:val="21"/>
              </w:rPr>
              <w:t>物、构筑物，铺设跨河管道、电缆等；</w:t>
            </w:r>
            <w:r>
              <w:rPr>
                <w:sz w:val="21"/>
              </w:rPr>
              <w:t>（</w:t>
            </w:r>
            <w:r>
              <w:rPr>
                <w:spacing w:val="-3"/>
                <w:sz w:val="21"/>
              </w:rPr>
              <w:t>二</w:t>
            </w:r>
            <w:r>
              <w:rPr>
                <w:sz w:val="21"/>
              </w:rPr>
              <w:t>）</w:t>
            </w:r>
            <w:r>
              <w:rPr>
                <w:spacing w:val="-11"/>
                <w:sz w:val="21"/>
              </w:rPr>
              <w:t>新建、改建或者扩大排污口；</w:t>
            </w:r>
            <w:r>
              <w:rPr>
                <w:sz w:val="21"/>
              </w:rPr>
              <w:t>（</w:t>
            </w:r>
            <w:r>
              <w:rPr>
                <w:spacing w:val="-3"/>
                <w:sz w:val="21"/>
              </w:rPr>
              <w:t>三</w:t>
            </w:r>
            <w:r>
              <w:rPr>
                <w:sz w:val="21"/>
              </w:rPr>
              <w:t>）</w:t>
            </w:r>
            <w:r>
              <w:rPr>
                <w:spacing w:val="-9"/>
                <w:sz w:val="21"/>
              </w:rPr>
              <w:t>未按照批准的取水许可规定条件取水；</w:t>
            </w:r>
            <w:r>
              <w:rPr>
                <w:spacing w:val="-3"/>
                <w:sz w:val="21"/>
              </w:rPr>
              <w:t>（</w:t>
            </w:r>
            <w:r>
              <w:rPr>
                <w:sz w:val="21"/>
              </w:rPr>
              <w:t>四</w:t>
            </w:r>
            <w:r>
              <w:rPr>
                <w:spacing w:val="-3"/>
                <w:sz w:val="21"/>
              </w:rPr>
              <w:t>）</w:t>
            </w:r>
            <w:r>
              <w:rPr>
                <w:spacing w:val="-2"/>
                <w:sz w:val="21"/>
              </w:rPr>
              <w:t>采砂、</w:t>
            </w:r>
          </w:p>
          <w:p>
            <w:pPr>
              <w:pStyle w:val="12"/>
              <w:spacing w:line="242" w:lineRule="exact"/>
              <w:ind w:left="106"/>
              <w:rPr>
                <w:sz w:val="21"/>
              </w:rPr>
            </w:pPr>
            <w:r>
              <w:rPr>
                <w:spacing w:val="-15"/>
                <w:sz w:val="21"/>
              </w:rPr>
              <w:t>采矿、采石、取土；</w:t>
            </w:r>
            <w:r>
              <w:rPr>
                <w:sz w:val="21"/>
              </w:rPr>
              <w:t>（</w:t>
            </w:r>
            <w:r>
              <w:rPr>
                <w:spacing w:val="-3"/>
                <w:sz w:val="21"/>
              </w:rPr>
              <w:t>五）爆破、钻探、垦荒、挖筑鱼塘、修路、开渠、打井。</w:t>
            </w:r>
          </w:p>
        </w:tc>
        <w:tc>
          <w:tcPr>
            <w:tcW w:w="5044" w:type="dxa"/>
          </w:tcPr>
          <w:p>
            <w:pPr>
              <w:pStyle w:val="12"/>
              <w:spacing w:before="7"/>
              <w:rPr>
                <w:b/>
                <w:sz w:val="21"/>
              </w:rPr>
            </w:pPr>
          </w:p>
          <w:p>
            <w:pPr>
              <w:pStyle w:val="12"/>
              <w:spacing w:before="1"/>
              <w:ind w:left="105"/>
              <w:rPr>
                <w:sz w:val="21"/>
              </w:rPr>
            </w:pPr>
            <w:r>
              <w:rPr>
                <w:sz w:val="21"/>
              </w:rPr>
              <w:t>《黔南布依族苗族自治州樟江流域保护条例》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48"/>
              <w:ind w:left="126" w:right="114"/>
              <w:jc w:val="center"/>
              <w:rPr>
                <w:rFonts w:ascii="Calibri"/>
                <w:sz w:val="21"/>
              </w:rPr>
            </w:pPr>
            <w:r>
              <w:rPr>
                <w:rFonts w:ascii="Calibri"/>
                <w:sz w:val="21"/>
              </w:rPr>
              <w:t>15</w:t>
            </w:r>
          </w:p>
        </w:tc>
        <w:tc>
          <w:tcPr>
            <w:tcW w:w="12334" w:type="dxa"/>
          </w:tcPr>
          <w:p>
            <w:pPr>
              <w:pStyle w:val="12"/>
              <w:spacing w:before="5" w:line="268" w:lineRule="exact"/>
              <w:ind w:left="106"/>
              <w:rPr>
                <w:sz w:val="21"/>
              </w:rPr>
            </w:pPr>
            <w:r>
              <w:rPr>
                <w:rFonts w:ascii="Calibri" w:hAnsi="Calibri" w:eastAsia="Calibri"/>
                <w:sz w:val="21"/>
              </w:rPr>
              <w:t>1</w:t>
            </w:r>
            <w:r>
              <w:rPr>
                <w:sz w:val="21"/>
              </w:rPr>
              <w:t>、严格限制在生态脆弱或环境敏感地区建设“两高”行业项目。</w:t>
            </w:r>
          </w:p>
          <w:p>
            <w:pPr>
              <w:pStyle w:val="12"/>
              <w:spacing w:line="244" w:lineRule="exact"/>
              <w:ind w:left="106"/>
              <w:rPr>
                <w:sz w:val="21"/>
              </w:rPr>
            </w:pPr>
            <w:r>
              <w:rPr>
                <w:rFonts w:ascii="Calibri" w:eastAsia="Calibri"/>
                <w:sz w:val="21"/>
              </w:rPr>
              <w:t>2</w:t>
            </w:r>
            <w:r>
              <w:rPr>
                <w:sz w:val="21"/>
              </w:rPr>
              <w:t>、严格按照土地利用总体规划确定的用途和土地利用计划的安排使用土地，严格控制占用农用地特别是耕地。</w:t>
            </w:r>
          </w:p>
        </w:tc>
        <w:tc>
          <w:tcPr>
            <w:tcW w:w="5044" w:type="dxa"/>
          </w:tcPr>
          <w:p>
            <w:pPr>
              <w:pStyle w:val="12"/>
              <w:spacing w:before="142"/>
              <w:ind w:left="105"/>
              <w:rPr>
                <w:sz w:val="21"/>
              </w:rPr>
            </w:pPr>
            <w:r>
              <w:rPr>
                <w:sz w:val="21"/>
              </w:rPr>
              <w:t>《黔南州“十三五”环境保护规划》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rPr>
                <w:b/>
                <w:sz w:val="20"/>
              </w:rPr>
            </w:pPr>
          </w:p>
          <w:p>
            <w:pPr>
              <w:pStyle w:val="12"/>
              <w:rPr>
                <w:b/>
                <w:sz w:val="20"/>
              </w:rPr>
            </w:pPr>
          </w:p>
          <w:p>
            <w:pPr>
              <w:pStyle w:val="12"/>
              <w:rPr>
                <w:b/>
                <w:sz w:val="20"/>
              </w:rPr>
            </w:pPr>
          </w:p>
          <w:p>
            <w:pPr>
              <w:pStyle w:val="12"/>
              <w:rPr>
                <w:b/>
                <w:sz w:val="20"/>
              </w:rPr>
            </w:pPr>
          </w:p>
          <w:p>
            <w:pPr>
              <w:pStyle w:val="12"/>
              <w:spacing w:before="3"/>
              <w:rPr>
                <w:b/>
                <w:sz w:val="15"/>
              </w:rPr>
            </w:pPr>
          </w:p>
          <w:p>
            <w:pPr>
              <w:pStyle w:val="12"/>
              <w:spacing w:before="1"/>
              <w:ind w:left="126" w:right="114"/>
              <w:jc w:val="center"/>
              <w:rPr>
                <w:rFonts w:ascii="Calibri"/>
                <w:sz w:val="21"/>
              </w:rPr>
            </w:pPr>
            <w:r>
              <w:rPr>
                <w:rFonts w:ascii="Calibri"/>
                <w:sz w:val="21"/>
              </w:rPr>
              <w:t>16</w:t>
            </w:r>
          </w:p>
        </w:tc>
        <w:tc>
          <w:tcPr>
            <w:tcW w:w="12334" w:type="dxa"/>
          </w:tcPr>
          <w:p>
            <w:pPr>
              <w:pStyle w:val="12"/>
              <w:numPr>
                <w:ilvl w:val="0"/>
                <w:numId w:val="42"/>
              </w:numPr>
              <w:tabs>
                <w:tab w:val="left" w:pos="371"/>
              </w:tabs>
              <w:spacing w:before="4"/>
              <w:ind w:right="-15" w:firstLine="0"/>
              <w:rPr>
                <w:sz w:val="21"/>
              </w:rPr>
            </w:pPr>
            <w:r>
              <w:rPr>
                <w:rFonts w:ascii="Calibri" w:eastAsia="Calibri"/>
                <w:sz w:val="21"/>
              </w:rPr>
              <w:t>2018</w:t>
            </w:r>
            <w:r>
              <w:rPr>
                <w:rFonts w:ascii="Calibri" w:eastAsia="Calibri"/>
                <w:spacing w:val="19"/>
                <w:sz w:val="21"/>
              </w:rPr>
              <w:t xml:space="preserve"> </w:t>
            </w:r>
            <w:r>
              <w:rPr>
                <w:spacing w:val="-6"/>
                <w:sz w:val="21"/>
              </w:rPr>
              <w:t xml:space="preserve">年底前，重点区域淘汰每小时 </w:t>
            </w:r>
            <w:r>
              <w:rPr>
                <w:rFonts w:ascii="Calibri" w:eastAsia="Calibri"/>
                <w:sz w:val="21"/>
              </w:rPr>
              <w:t>20</w:t>
            </w:r>
            <w:r>
              <w:rPr>
                <w:rFonts w:ascii="Calibri" w:eastAsia="Calibri"/>
                <w:spacing w:val="19"/>
                <w:sz w:val="21"/>
              </w:rPr>
              <w:t xml:space="preserve"> </w:t>
            </w:r>
            <w:r>
              <w:rPr>
                <w:spacing w:val="-6"/>
                <w:sz w:val="21"/>
              </w:rPr>
              <w:t xml:space="preserve">蒸吨以下燃煤锅炉，启动每小时 </w:t>
            </w:r>
            <w:r>
              <w:rPr>
                <w:rFonts w:ascii="Calibri" w:eastAsia="Calibri"/>
                <w:sz w:val="21"/>
              </w:rPr>
              <w:t>35</w:t>
            </w:r>
            <w:r>
              <w:rPr>
                <w:rFonts w:ascii="Calibri" w:eastAsia="Calibri"/>
                <w:spacing w:val="17"/>
                <w:sz w:val="21"/>
              </w:rPr>
              <w:t xml:space="preserve"> </w:t>
            </w:r>
            <w:r>
              <w:rPr>
                <w:spacing w:val="-3"/>
                <w:sz w:val="21"/>
              </w:rPr>
              <w:t>蒸吨以下燃煤锅炉淘汰工作，其余城市建成区淘汰每小</w:t>
            </w:r>
            <w:r>
              <w:rPr>
                <w:spacing w:val="-24"/>
                <w:sz w:val="21"/>
              </w:rPr>
              <w:t xml:space="preserve">时 </w:t>
            </w:r>
            <w:r>
              <w:rPr>
                <w:rFonts w:ascii="Calibri" w:eastAsia="Calibri"/>
                <w:sz w:val="21"/>
              </w:rPr>
              <w:t>10</w:t>
            </w:r>
            <w:r>
              <w:rPr>
                <w:rFonts w:ascii="Calibri" w:eastAsia="Calibri"/>
                <w:spacing w:val="12"/>
                <w:sz w:val="21"/>
              </w:rPr>
              <w:t xml:space="preserve"> </w:t>
            </w:r>
            <w:r>
              <w:rPr>
                <w:spacing w:val="-10"/>
                <w:sz w:val="21"/>
              </w:rPr>
              <w:t xml:space="preserve">蒸吨以下燃煤锅炉。到 </w:t>
            </w:r>
            <w:r>
              <w:rPr>
                <w:rFonts w:ascii="Calibri" w:eastAsia="Calibri"/>
                <w:sz w:val="21"/>
              </w:rPr>
              <w:t>2020</w:t>
            </w:r>
            <w:r>
              <w:rPr>
                <w:rFonts w:ascii="Calibri" w:eastAsia="Calibri"/>
                <w:spacing w:val="15"/>
                <w:sz w:val="21"/>
              </w:rPr>
              <w:t xml:space="preserve"> </w:t>
            </w:r>
            <w:r>
              <w:rPr>
                <w:spacing w:val="-9"/>
                <w:sz w:val="21"/>
              </w:rPr>
              <w:t xml:space="preserve">年，全州县级及以上城市全部淘汰 </w:t>
            </w:r>
            <w:r>
              <w:rPr>
                <w:rFonts w:ascii="Calibri" w:eastAsia="Calibri"/>
                <w:sz w:val="21"/>
              </w:rPr>
              <w:t>10</w:t>
            </w:r>
            <w:r>
              <w:rPr>
                <w:rFonts w:ascii="Calibri" w:eastAsia="Calibri"/>
                <w:spacing w:val="15"/>
                <w:sz w:val="21"/>
              </w:rPr>
              <w:t xml:space="preserve"> </w:t>
            </w:r>
            <w:r>
              <w:rPr>
                <w:spacing w:val="-6"/>
                <w:sz w:val="21"/>
              </w:rPr>
              <w:t>蒸吨及以下燃煤锅炉，基本淘汰燃煤的茶水炉、经营性炉灶、</w:t>
            </w:r>
            <w:r>
              <w:rPr>
                <w:spacing w:val="-11"/>
                <w:sz w:val="21"/>
              </w:rPr>
              <w:t xml:space="preserve">储粮烘干等设备。都匀市、福泉市城市建成区禁止新建每小时 </w:t>
            </w:r>
            <w:r>
              <w:rPr>
                <w:rFonts w:ascii="Calibri" w:eastAsia="Calibri"/>
                <w:sz w:val="21"/>
              </w:rPr>
              <w:t>75</w:t>
            </w:r>
            <w:r>
              <w:rPr>
                <w:rFonts w:ascii="Calibri" w:eastAsia="Calibri"/>
                <w:spacing w:val="13"/>
                <w:sz w:val="21"/>
              </w:rPr>
              <w:t xml:space="preserve"> </w:t>
            </w:r>
            <w:r>
              <w:rPr>
                <w:spacing w:val="-8"/>
                <w:sz w:val="21"/>
              </w:rPr>
              <w:t xml:space="preserve">蒸吨及以下燃煤锅炉，县级城市建成区禁止新建每小时 </w:t>
            </w:r>
            <w:r>
              <w:rPr>
                <w:rFonts w:ascii="Calibri" w:eastAsia="Calibri"/>
                <w:sz w:val="21"/>
              </w:rPr>
              <w:t>35</w:t>
            </w:r>
            <w:r>
              <w:rPr>
                <w:rFonts w:ascii="Calibri" w:eastAsia="Calibri"/>
                <w:spacing w:val="13"/>
                <w:sz w:val="21"/>
              </w:rPr>
              <w:t xml:space="preserve"> </w:t>
            </w:r>
            <w:r>
              <w:rPr>
                <w:spacing w:val="-3"/>
                <w:sz w:val="21"/>
              </w:rPr>
              <w:t>蒸吨及以</w:t>
            </w:r>
            <w:r>
              <w:rPr>
                <w:spacing w:val="-4"/>
                <w:sz w:val="21"/>
              </w:rPr>
              <w:t xml:space="preserve">下燃煤锅炉，其他区域禁止新建每小时 </w:t>
            </w:r>
            <w:r>
              <w:rPr>
                <w:rFonts w:ascii="Calibri" w:eastAsia="Calibri"/>
                <w:sz w:val="21"/>
              </w:rPr>
              <w:t>10</w:t>
            </w:r>
            <w:r>
              <w:rPr>
                <w:rFonts w:ascii="Calibri" w:eastAsia="Calibri"/>
                <w:spacing w:val="37"/>
                <w:sz w:val="21"/>
              </w:rPr>
              <w:t xml:space="preserve"> </w:t>
            </w:r>
            <w:r>
              <w:rPr>
                <w:spacing w:val="-3"/>
                <w:sz w:val="21"/>
              </w:rPr>
              <w:t>蒸吨以下燃煤锅炉。加大对纯凝机组和热电联产机组技术改造力度，加快供热管网建设， 充分释放和提高供热能力，淘汰管网覆盖范围内的燃煤锅炉和散煤。</w:t>
            </w:r>
          </w:p>
          <w:p>
            <w:pPr>
              <w:pStyle w:val="12"/>
              <w:numPr>
                <w:ilvl w:val="0"/>
                <w:numId w:val="42"/>
              </w:numPr>
              <w:tabs>
                <w:tab w:val="left" w:pos="373"/>
              </w:tabs>
              <w:ind w:right="95" w:firstLine="0"/>
              <w:jc w:val="both"/>
              <w:rPr>
                <w:sz w:val="21"/>
              </w:rPr>
            </w:pPr>
            <w:r>
              <w:rPr>
                <w:spacing w:val="-5"/>
                <w:sz w:val="21"/>
              </w:rPr>
              <w:t>重点区域取缔燃煤热风炉，基本淘汰热电联产供热管网覆盖范围内的燃煤加热、烘干炉</w:t>
            </w:r>
            <w:r>
              <w:rPr>
                <w:sz w:val="21"/>
              </w:rPr>
              <w:t>（</w:t>
            </w:r>
            <w:r>
              <w:rPr>
                <w:spacing w:val="-3"/>
                <w:sz w:val="21"/>
              </w:rPr>
              <w:t>窑</w:t>
            </w:r>
            <w:r>
              <w:rPr>
                <w:spacing w:val="-106"/>
                <w:sz w:val="21"/>
              </w:rPr>
              <w:t>）</w:t>
            </w:r>
            <w:r>
              <w:rPr>
                <w:spacing w:val="-3"/>
                <w:sz w:val="21"/>
              </w:rPr>
              <w:t>；淘汰炉膛直径</w:t>
            </w:r>
            <w:r>
              <w:rPr>
                <w:spacing w:val="-56"/>
                <w:sz w:val="21"/>
              </w:rPr>
              <w:t xml:space="preserve"> </w:t>
            </w:r>
            <w:r>
              <w:rPr>
                <w:rFonts w:ascii="Calibri" w:eastAsia="Calibri"/>
                <w:sz w:val="21"/>
              </w:rPr>
              <w:t>3</w:t>
            </w:r>
            <w:r>
              <w:rPr>
                <w:rFonts w:ascii="Calibri" w:eastAsia="Calibri"/>
                <w:spacing w:val="6"/>
                <w:sz w:val="21"/>
              </w:rPr>
              <w:t xml:space="preserve"> </w:t>
            </w:r>
            <w:r>
              <w:rPr>
                <w:spacing w:val="-3"/>
                <w:sz w:val="21"/>
              </w:rPr>
              <w:t>米以下燃料类煤气</w:t>
            </w:r>
            <w:r>
              <w:rPr>
                <w:spacing w:val="-9"/>
                <w:sz w:val="21"/>
              </w:rPr>
              <w:t>发生炉，加大化肥行业固定床间歇式煤气化炉整治力度；集中使用煤气发生炉的工业园区，暂不具备改用天然气条件的，原则上应建</w:t>
            </w:r>
            <w:r>
              <w:rPr>
                <w:spacing w:val="-5"/>
                <w:sz w:val="21"/>
              </w:rPr>
              <w:t>设统一的清洁煤制气中心；禁止掺烧高硫石油焦。</w:t>
            </w:r>
          </w:p>
          <w:p>
            <w:pPr>
              <w:pStyle w:val="12"/>
              <w:numPr>
                <w:ilvl w:val="0"/>
                <w:numId w:val="42"/>
              </w:numPr>
              <w:tabs>
                <w:tab w:val="left" w:pos="373"/>
              </w:tabs>
              <w:spacing w:line="266" w:lineRule="exact"/>
              <w:ind w:left="373" w:hanging="267"/>
              <w:jc w:val="both"/>
              <w:rPr>
                <w:sz w:val="21"/>
              </w:rPr>
            </w:pPr>
            <w:r>
              <w:rPr>
                <w:sz w:val="21"/>
              </w:rPr>
              <w:t>重点区域严禁新增钢铁、焦化、电解铝、铸造、水泥和平板玻璃等产能；严格执行钢铁、水泥、平板玻璃等行业产能置换实施办</w:t>
            </w:r>
          </w:p>
          <w:p>
            <w:pPr>
              <w:pStyle w:val="12"/>
              <w:spacing w:line="245" w:lineRule="exact"/>
              <w:ind w:left="106"/>
              <w:rPr>
                <w:sz w:val="21"/>
              </w:rPr>
            </w:pPr>
            <w:r>
              <w:rPr>
                <w:sz w:val="21"/>
              </w:rPr>
              <w:t>法。</w:t>
            </w:r>
          </w:p>
        </w:tc>
        <w:tc>
          <w:tcPr>
            <w:tcW w:w="5044" w:type="dxa"/>
          </w:tcPr>
          <w:p>
            <w:pPr>
              <w:pStyle w:val="12"/>
              <w:rPr>
                <w:b/>
                <w:sz w:val="20"/>
              </w:rPr>
            </w:pPr>
          </w:p>
          <w:p>
            <w:pPr>
              <w:pStyle w:val="12"/>
              <w:rPr>
                <w:b/>
                <w:sz w:val="20"/>
              </w:rPr>
            </w:pPr>
          </w:p>
          <w:p>
            <w:pPr>
              <w:pStyle w:val="12"/>
              <w:rPr>
                <w:b/>
                <w:sz w:val="20"/>
              </w:rPr>
            </w:pPr>
          </w:p>
          <w:p>
            <w:pPr>
              <w:pStyle w:val="12"/>
              <w:rPr>
                <w:b/>
                <w:sz w:val="20"/>
              </w:rPr>
            </w:pPr>
          </w:p>
          <w:p>
            <w:pPr>
              <w:pStyle w:val="12"/>
              <w:spacing w:before="9"/>
              <w:rPr>
                <w:b/>
                <w:sz w:val="14"/>
              </w:rPr>
            </w:pPr>
          </w:p>
          <w:p>
            <w:pPr>
              <w:pStyle w:val="12"/>
              <w:ind w:left="105"/>
              <w:rPr>
                <w:sz w:val="21"/>
              </w:rPr>
            </w:pPr>
            <w:r>
              <w:rPr>
                <w:sz w:val="21"/>
              </w:rPr>
              <w:t>《黔南州打赢蓝天保卫战三年行动计划》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8" w:line="242" w:lineRule="exact"/>
              <w:ind w:left="126" w:right="118"/>
              <w:jc w:val="center"/>
              <w:rPr>
                <w:rFonts w:ascii="Calibri"/>
                <w:sz w:val="21"/>
              </w:rPr>
            </w:pPr>
            <w:r>
              <w:rPr>
                <w:rFonts w:ascii="Calibri"/>
                <w:sz w:val="21"/>
              </w:rPr>
              <w:t>17</w:t>
            </w:r>
          </w:p>
        </w:tc>
        <w:tc>
          <w:tcPr>
            <w:tcW w:w="12334" w:type="dxa"/>
          </w:tcPr>
          <w:p>
            <w:pPr>
              <w:pStyle w:val="12"/>
              <w:spacing w:before="8" w:line="252" w:lineRule="exact"/>
              <w:ind w:left="106"/>
              <w:rPr>
                <w:sz w:val="21"/>
              </w:rPr>
            </w:pPr>
            <w:r>
              <w:rPr>
                <w:sz w:val="21"/>
              </w:rPr>
              <w:t>严格散煤燃烧管控，禁燃区禁止销售、使用煤炭、石油焦等高污染燃料。县城以上城市禁燃区内要取缔经营性燃煤炉灶。</w:t>
            </w:r>
          </w:p>
        </w:tc>
        <w:tc>
          <w:tcPr>
            <w:tcW w:w="5044" w:type="dxa"/>
          </w:tcPr>
          <w:p>
            <w:pPr>
              <w:pStyle w:val="12"/>
              <w:spacing w:before="13" w:line="247" w:lineRule="exact"/>
              <w:ind w:left="105"/>
              <w:rPr>
                <w:sz w:val="21"/>
              </w:rPr>
            </w:pPr>
            <w:r>
              <w:rPr>
                <w:sz w:val="21"/>
              </w:rPr>
              <w:t xml:space="preserve">《黔南州 </w:t>
            </w:r>
            <w:r>
              <w:rPr>
                <w:rFonts w:ascii="Calibri" w:eastAsia="Calibri"/>
                <w:sz w:val="21"/>
              </w:rPr>
              <w:t xml:space="preserve">2018 </w:t>
            </w:r>
            <w:r>
              <w:rPr>
                <w:sz w:val="21"/>
              </w:rPr>
              <w:t>年大气污染防治攻坚实施方案》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1"/>
              <w:rPr>
                <w:b/>
                <w:sz w:val="21"/>
              </w:rPr>
            </w:pPr>
          </w:p>
          <w:p>
            <w:pPr>
              <w:pStyle w:val="12"/>
              <w:ind w:left="126" w:right="114"/>
              <w:jc w:val="center"/>
              <w:rPr>
                <w:rFonts w:ascii="Calibri"/>
                <w:sz w:val="21"/>
              </w:rPr>
            </w:pPr>
            <w:r>
              <w:rPr>
                <w:rFonts w:ascii="Calibri"/>
                <w:sz w:val="21"/>
              </w:rPr>
              <w:t>18</w:t>
            </w:r>
          </w:p>
        </w:tc>
        <w:tc>
          <w:tcPr>
            <w:tcW w:w="12334" w:type="dxa"/>
          </w:tcPr>
          <w:p>
            <w:pPr>
              <w:pStyle w:val="12"/>
              <w:spacing w:before="5" w:line="237" w:lineRule="auto"/>
              <w:ind w:left="106" w:right="95"/>
              <w:rPr>
                <w:sz w:val="21"/>
              </w:rPr>
            </w:pPr>
            <w:r>
              <w:rPr>
                <w:spacing w:val="-8"/>
                <w:sz w:val="21"/>
              </w:rPr>
              <w:t>州、县</w:t>
            </w:r>
            <w:r>
              <w:rPr>
                <w:sz w:val="21"/>
              </w:rPr>
              <w:t>（</w:t>
            </w:r>
            <w:r>
              <w:rPr>
                <w:spacing w:val="-3"/>
                <w:sz w:val="21"/>
              </w:rPr>
              <w:t>市</w:t>
            </w:r>
            <w:r>
              <w:rPr>
                <w:spacing w:val="-10"/>
                <w:sz w:val="21"/>
              </w:rPr>
              <w:t>）</w:t>
            </w:r>
            <w:r>
              <w:rPr>
                <w:spacing w:val="-7"/>
                <w:sz w:val="21"/>
              </w:rPr>
              <w:t>人民政府按照有关环境保护法律、法规的规定，对造成水体严重污染的单位，报经有决定权限的人民政府批准，责令其</w:t>
            </w:r>
            <w:r>
              <w:rPr>
                <w:spacing w:val="-10"/>
                <w:sz w:val="21"/>
              </w:rPr>
              <w:t>限期治理。限期治理的单位和个人必须如期完成限期治理任务；对逾期未完成治理任务的，由作出限期治理决定的人民政府依法责令</w:t>
            </w:r>
          </w:p>
          <w:p>
            <w:pPr>
              <w:pStyle w:val="12"/>
              <w:spacing w:before="1" w:line="245" w:lineRule="exact"/>
              <w:ind w:left="106"/>
              <w:rPr>
                <w:sz w:val="21"/>
              </w:rPr>
            </w:pPr>
            <w:r>
              <w:rPr>
                <w:sz w:val="21"/>
              </w:rPr>
              <w:t>其关闭、停产或转产。</w:t>
            </w:r>
          </w:p>
        </w:tc>
        <w:tc>
          <w:tcPr>
            <w:tcW w:w="5044" w:type="dxa"/>
          </w:tcPr>
          <w:p>
            <w:pPr>
              <w:pStyle w:val="12"/>
              <w:spacing w:before="6"/>
              <w:rPr>
                <w:b/>
                <w:sz w:val="21"/>
              </w:rPr>
            </w:pPr>
          </w:p>
          <w:p>
            <w:pPr>
              <w:pStyle w:val="12"/>
              <w:ind w:left="105"/>
              <w:rPr>
                <w:sz w:val="21"/>
              </w:rPr>
            </w:pPr>
            <w:r>
              <w:rPr>
                <w:sz w:val="21"/>
              </w:rPr>
              <w:t>《黔南布依族苗族自治州城市水污染防治条例》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restart"/>
          </w:tcPr>
          <w:p>
            <w:pPr>
              <w:pStyle w:val="12"/>
              <w:rPr>
                <w:b/>
                <w:sz w:val="20"/>
              </w:rPr>
            </w:pPr>
          </w:p>
          <w:p>
            <w:pPr>
              <w:pStyle w:val="12"/>
              <w:spacing w:before="2"/>
              <w:rPr>
                <w:b/>
                <w:sz w:val="23"/>
              </w:rPr>
            </w:pPr>
          </w:p>
          <w:p>
            <w:pPr>
              <w:pStyle w:val="12"/>
              <w:ind w:left="126" w:right="114"/>
              <w:jc w:val="center"/>
              <w:rPr>
                <w:rFonts w:ascii="Calibri"/>
                <w:sz w:val="21"/>
              </w:rPr>
            </w:pPr>
            <w:r>
              <w:rPr>
                <w:rFonts w:ascii="Calibri"/>
                <w:sz w:val="21"/>
              </w:rPr>
              <w:t>19</w:t>
            </w:r>
          </w:p>
        </w:tc>
        <w:tc>
          <w:tcPr>
            <w:tcW w:w="12334" w:type="dxa"/>
          </w:tcPr>
          <w:p>
            <w:pPr>
              <w:pStyle w:val="12"/>
              <w:spacing w:before="3" w:line="269" w:lineRule="exact"/>
              <w:ind w:left="106"/>
              <w:rPr>
                <w:sz w:val="21"/>
              </w:rPr>
            </w:pPr>
            <w:r>
              <w:rPr>
                <w:rFonts w:ascii="Calibri" w:eastAsia="Calibri"/>
                <w:sz w:val="21"/>
              </w:rPr>
              <w:t xml:space="preserve">1. </w:t>
            </w:r>
            <w:r>
              <w:rPr>
                <w:sz w:val="21"/>
              </w:rPr>
              <w:t>城镇建设不得占用河道河滩，不得填堵原有河道沟岔。河道岸线的利用和建设，应当服从城镇总体规划、环保规划、河道整治规</w:t>
            </w:r>
          </w:p>
          <w:p>
            <w:pPr>
              <w:pStyle w:val="12"/>
              <w:spacing w:line="242" w:lineRule="exact"/>
              <w:ind w:left="106"/>
              <w:rPr>
                <w:sz w:val="21"/>
              </w:rPr>
            </w:pPr>
            <w:r>
              <w:rPr>
                <w:sz w:val="21"/>
              </w:rPr>
              <w:t>划、防洪规划和绿化规划。</w:t>
            </w:r>
          </w:p>
        </w:tc>
        <w:tc>
          <w:tcPr>
            <w:tcW w:w="5044" w:type="dxa"/>
            <w:vMerge w:val="restart"/>
          </w:tcPr>
          <w:p>
            <w:pPr>
              <w:pStyle w:val="12"/>
              <w:spacing w:before="5"/>
              <w:rPr>
                <w:b/>
                <w:sz w:val="21"/>
              </w:rPr>
            </w:pPr>
          </w:p>
          <w:p>
            <w:pPr>
              <w:pStyle w:val="12"/>
              <w:ind w:left="105"/>
              <w:rPr>
                <w:sz w:val="21"/>
              </w:rPr>
            </w:pPr>
            <w:r>
              <w:rPr>
                <w:sz w:val="21"/>
              </w:rPr>
              <w:t>《黔南布依族苗族自治州城镇建设管理条例》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before="3" w:line="269" w:lineRule="exact"/>
              <w:ind w:left="106"/>
              <w:rPr>
                <w:sz w:val="21"/>
              </w:rPr>
            </w:pPr>
            <w:r>
              <w:rPr>
                <w:rFonts w:ascii="Calibri" w:eastAsia="Calibri"/>
                <w:sz w:val="21"/>
              </w:rPr>
              <w:t xml:space="preserve">2. </w:t>
            </w:r>
            <w:r>
              <w:rPr>
                <w:sz w:val="21"/>
              </w:rPr>
              <w:t>任何单位和个人不得擅自在城镇规划区内的防洪堤坝、泄洪河道、排水沟渠及其防护地段内挖砂、取石、取土、占河设障、围填</w:t>
            </w:r>
          </w:p>
          <w:p>
            <w:pPr>
              <w:pStyle w:val="12"/>
              <w:spacing w:line="245" w:lineRule="exact"/>
              <w:ind w:left="106"/>
              <w:rPr>
                <w:sz w:val="21"/>
              </w:rPr>
            </w:pPr>
            <w:r>
              <w:rPr>
                <w:sz w:val="21"/>
              </w:rPr>
              <w:t>水面、开荒、倾倒垃圾填塞排水设施。</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rPr>
                <w:b/>
              </w:rPr>
            </w:pPr>
          </w:p>
          <w:p>
            <w:pPr>
              <w:pStyle w:val="12"/>
              <w:ind w:left="126" w:right="118"/>
              <w:jc w:val="center"/>
              <w:rPr>
                <w:rFonts w:ascii="Calibri"/>
                <w:sz w:val="21"/>
              </w:rPr>
            </w:pPr>
            <w:r>
              <w:rPr>
                <w:rFonts w:ascii="Calibri"/>
                <w:sz w:val="21"/>
              </w:rPr>
              <w:t>20</w:t>
            </w:r>
          </w:p>
        </w:tc>
        <w:tc>
          <w:tcPr>
            <w:tcW w:w="12334" w:type="dxa"/>
          </w:tcPr>
          <w:p>
            <w:pPr>
              <w:pStyle w:val="12"/>
              <w:spacing w:before="3"/>
              <w:ind w:left="106" w:right="-15"/>
              <w:rPr>
                <w:sz w:val="21"/>
              </w:rPr>
            </w:pPr>
            <w:r>
              <w:rPr>
                <w:spacing w:val="-6"/>
                <w:sz w:val="21"/>
              </w:rPr>
              <w:t>在河道管理范围内，未经水行政主管部门审查同意，不得从事以下活动：</w:t>
            </w:r>
            <w:r>
              <w:rPr>
                <w:sz w:val="21"/>
              </w:rPr>
              <w:t>（</w:t>
            </w:r>
            <w:r>
              <w:rPr>
                <w:rFonts w:ascii="Calibri" w:eastAsia="Calibri"/>
                <w:sz w:val="21"/>
              </w:rPr>
              <w:t>1</w:t>
            </w:r>
            <w:r>
              <w:rPr>
                <w:sz w:val="21"/>
              </w:rPr>
              <w:t>）</w:t>
            </w:r>
            <w:r>
              <w:rPr>
                <w:spacing w:val="-8"/>
                <w:sz w:val="21"/>
              </w:rPr>
              <w:t>修建水工程，或者建设桥梁、码头和其他拦河、跨河、</w:t>
            </w:r>
            <w:r>
              <w:rPr>
                <w:spacing w:val="-10"/>
                <w:sz w:val="21"/>
              </w:rPr>
              <w:t xml:space="preserve">临河建筑物、构筑物，铺设跨河管道、电缆等； </w:t>
            </w:r>
            <w:r>
              <w:rPr>
                <w:sz w:val="21"/>
              </w:rPr>
              <w:t>（</w:t>
            </w:r>
            <w:r>
              <w:rPr>
                <w:rFonts w:ascii="Calibri" w:eastAsia="Calibri"/>
                <w:sz w:val="21"/>
              </w:rPr>
              <w:t>2</w:t>
            </w:r>
            <w:r>
              <w:rPr>
                <w:sz w:val="21"/>
              </w:rPr>
              <w:t>）</w:t>
            </w:r>
            <w:r>
              <w:rPr>
                <w:spacing w:val="-5"/>
                <w:sz w:val="21"/>
              </w:rPr>
              <w:t xml:space="preserve">新建、改建或者扩大排污口； </w:t>
            </w:r>
            <w:r>
              <w:rPr>
                <w:sz w:val="21"/>
              </w:rPr>
              <w:t>（</w:t>
            </w:r>
            <w:r>
              <w:rPr>
                <w:rFonts w:ascii="Calibri" w:eastAsia="Calibri"/>
                <w:sz w:val="21"/>
              </w:rPr>
              <w:t>3</w:t>
            </w:r>
            <w:r>
              <w:rPr>
                <w:sz w:val="21"/>
              </w:rPr>
              <w:t>）</w:t>
            </w:r>
            <w:r>
              <w:rPr>
                <w:spacing w:val="-3"/>
                <w:sz w:val="21"/>
              </w:rPr>
              <w:t>取水或者未按照批准的取水许可规定条件</w:t>
            </w:r>
          </w:p>
          <w:p>
            <w:pPr>
              <w:pStyle w:val="12"/>
              <w:spacing w:line="242" w:lineRule="exact"/>
              <w:ind w:left="106"/>
              <w:rPr>
                <w:sz w:val="21"/>
              </w:rPr>
            </w:pPr>
            <w:r>
              <w:rPr>
                <w:sz w:val="21"/>
              </w:rPr>
              <w:t>取水； （</w:t>
            </w:r>
            <w:r>
              <w:rPr>
                <w:rFonts w:ascii="Calibri" w:eastAsia="Calibri"/>
                <w:sz w:val="21"/>
              </w:rPr>
              <w:t>4</w:t>
            </w:r>
            <w:r>
              <w:rPr>
                <w:sz w:val="21"/>
              </w:rPr>
              <w:t>）采砂、采矿、采石、取土； （</w:t>
            </w:r>
            <w:r>
              <w:rPr>
                <w:rFonts w:ascii="Calibri" w:eastAsia="Calibri"/>
                <w:sz w:val="21"/>
              </w:rPr>
              <w:t>5</w:t>
            </w:r>
            <w:r>
              <w:rPr>
                <w:sz w:val="21"/>
              </w:rPr>
              <w:t>）爆破、钻探、垦荒、挖筑鱼塘、修路、开渠、打井。</w:t>
            </w:r>
          </w:p>
        </w:tc>
        <w:tc>
          <w:tcPr>
            <w:tcW w:w="5044" w:type="dxa"/>
          </w:tcPr>
          <w:p>
            <w:pPr>
              <w:pStyle w:val="12"/>
              <w:spacing w:before="5"/>
              <w:rPr>
                <w:b/>
                <w:sz w:val="21"/>
              </w:rPr>
            </w:pPr>
          </w:p>
          <w:p>
            <w:pPr>
              <w:pStyle w:val="12"/>
              <w:ind w:left="105"/>
              <w:rPr>
                <w:sz w:val="21"/>
              </w:rPr>
            </w:pPr>
            <w:r>
              <w:rPr>
                <w:sz w:val="21"/>
              </w:rPr>
              <w:t>《黔南布依族苗族自治州剑江河流域保护条例》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38" w:type="dxa"/>
            <w:vMerge w:val="continue"/>
            <w:tcBorders>
              <w:top w:val="nil"/>
            </w:tcBorders>
          </w:tcPr>
          <w:p>
            <w:pPr>
              <w:rPr>
                <w:sz w:val="2"/>
                <w:szCs w:val="2"/>
              </w:rPr>
            </w:pPr>
          </w:p>
        </w:tc>
        <w:tc>
          <w:tcPr>
            <w:tcW w:w="1714" w:type="dxa"/>
            <w:vMerge w:val="restart"/>
          </w:tcPr>
          <w:p>
            <w:pPr>
              <w:pStyle w:val="12"/>
              <w:rPr>
                <w:b/>
                <w:sz w:val="20"/>
              </w:rPr>
            </w:pPr>
          </w:p>
          <w:p>
            <w:pPr>
              <w:pStyle w:val="12"/>
              <w:spacing w:before="3"/>
              <w:rPr>
                <w:b/>
                <w:sz w:val="24"/>
              </w:rPr>
            </w:pPr>
          </w:p>
          <w:p>
            <w:pPr>
              <w:pStyle w:val="12"/>
              <w:ind w:left="107" w:right="94"/>
              <w:rPr>
                <w:sz w:val="21"/>
              </w:rPr>
            </w:pPr>
            <w:r>
              <w:rPr>
                <w:sz w:val="21"/>
              </w:rPr>
              <w:t>允许开发建设活动的特殊要求</w:t>
            </w:r>
          </w:p>
        </w:tc>
        <w:tc>
          <w:tcPr>
            <w:tcW w:w="716" w:type="dxa"/>
          </w:tcPr>
          <w:p>
            <w:pPr>
              <w:pStyle w:val="12"/>
              <w:spacing w:before="20" w:line="240" w:lineRule="exact"/>
              <w:ind w:left="126" w:right="114"/>
              <w:jc w:val="center"/>
              <w:rPr>
                <w:rFonts w:ascii="Calibri"/>
                <w:sz w:val="21"/>
              </w:rPr>
            </w:pPr>
            <w:r>
              <w:rPr>
                <w:rFonts w:ascii="Calibri"/>
                <w:sz w:val="21"/>
              </w:rPr>
              <w:t>21</w:t>
            </w:r>
          </w:p>
        </w:tc>
        <w:tc>
          <w:tcPr>
            <w:tcW w:w="12334" w:type="dxa"/>
          </w:tcPr>
          <w:p>
            <w:pPr>
              <w:pStyle w:val="12"/>
              <w:spacing w:before="10" w:line="250" w:lineRule="exact"/>
              <w:ind w:left="106"/>
              <w:rPr>
                <w:sz w:val="21"/>
              </w:rPr>
            </w:pPr>
            <w:r>
              <w:rPr>
                <w:sz w:val="21"/>
              </w:rPr>
              <w:t>自治州的自治机关鼓励和扶持集体、个人依法充分利用稻田、河流、山塘、水库发展渔业。</w:t>
            </w:r>
          </w:p>
        </w:tc>
        <w:tc>
          <w:tcPr>
            <w:tcW w:w="5044" w:type="dxa"/>
          </w:tcPr>
          <w:p>
            <w:pPr>
              <w:pStyle w:val="12"/>
              <w:spacing w:before="13" w:line="247" w:lineRule="exact"/>
              <w:ind w:left="105"/>
              <w:rPr>
                <w:sz w:val="21"/>
              </w:rPr>
            </w:pPr>
            <w:r>
              <w:rPr>
                <w:sz w:val="21"/>
              </w:rPr>
              <w:t>《黔南布依族苗族自治州自治条例》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restart"/>
          </w:tcPr>
          <w:p>
            <w:pPr>
              <w:pStyle w:val="12"/>
              <w:rPr>
                <w:b/>
                <w:sz w:val="20"/>
              </w:rPr>
            </w:pPr>
          </w:p>
          <w:p>
            <w:pPr>
              <w:pStyle w:val="12"/>
              <w:spacing w:before="4"/>
              <w:rPr>
                <w:b/>
                <w:sz w:val="24"/>
              </w:rPr>
            </w:pPr>
          </w:p>
          <w:p>
            <w:pPr>
              <w:pStyle w:val="12"/>
              <w:ind w:left="126" w:right="114"/>
              <w:jc w:val="center"/>
              <w:rPr>
                <w:rFonts w:ascii="Calibri"/>
                <w:sz w:val="21"/>
              </w:rPr>
            </w:pPr>
            <w:r>
              <w:rPr>
                <w:rFonts w:ascii="Calibri"/>
                <w:sz w:val="21"/>
              </w:rPr>
              <w:t>22</w:t>
            </w:r>
          </w:p>
        </w:tc>
        <w:tc>
          <w:tcPr>
            <w:tcW w:w="12334" w:type="dxa"/>
          </w:tcPr>
          <w:p>
            <w:pPr>
              <w:pStyle w:val="12"/>
              <w:spacing w:before="3" w:line="269" w:lineRule="exact"/>
              <w:ind w:left="106"/>
              <w:rPr>
                <w:sz w:val="21"/>
              </w:rPr>
            </w:pPr>
            <w:r>
              <w:rPr>
                <w:rFonts w:ascii="Calibri" w:eastAsia="Calibri"/>
                <w:sz w:val="21"/>
              </w:rPr>
              <w:t xml:space="preserve">1. </w:t>
            </w:r>
            <w:r>
              <w:rPr>
                <w:sz w:val="21"/>
              </w:rPr>
              <w:t>在国家地面水环境质量标准三类水体流域范围内建设炼硫、电镀、制革、造纸、制浆、炼焦、漂染、有色金属冶炼、化肥项目，</w:t>
            </w:r>
          </w:p>
          <w:p>
            <w:pPr>
              <w:pStyle w:val="12"/>
              <w:spacing w:line="242" w:lineRule="exact"/>
              <w:ind w:left="106"/>
              <w:rPr>
                <w:sz w:val="21"/>
              </w:rPr>
            </w:pPr>
            <w:r>
              <w:rPr>
                <w:sz w:val="21"/>
              </w:rPr>
              <w:t>应严格控制，确保水体不受污染，达到功能水质要求。</w:t>
            </w:r>
          </w:p>
        </w:tc>
        <w:tc>
          <w:tcPr>
            <w:tcW w:w="5044" w:type="dxa"/>
            <w:vMerge w:val="restart"/>
          </w:tcPr>
          <w:p>
            <w:pPr>
              <w:pStyle w:val="12"/>
              <w:rPr>
                <w:b/>
                <w:sz w:val="20"/>
              </w:rPr>
            </w:pPr>
          </w:p>
          <w:p>
            <w:pPr>
              <w:pStyle w:val="12"/>
              <w:spacing w:before="164"/>
              <w:ind w:left="105"/>
              <w:rPr>
                <w:sz w:val="21"/>
              </w:rPr>
            </w:pPr>
            <w:r>
              <w:rPr>
                <w:sz w:val="21"/>
              </w:rPr>
              <w:t>《黔南布依族苗族自治州城市水污染防治条例》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before="4" w:line="269" w:lineRule="exact"/>
              <w:ind w:left="106"/>
              <w:rPr>
                <w:sz w:val="21"/>
              </w:rPr>
            </w:pPr>
            <w:r>
              <w:rPr>
                <w:rFonts w:ascii="Calibri" w:eastAsia="Calibri"/>
                <w:sz w:val="21"/>
              </w:rPr>
              <w:t xml:space="preserve">2. </w:t>
            </w:r>
            <w:r>
              <w:rPr>
                <w:sz w:val="21"/>
              </w:rPr>
              <w:t>新建城区、开发区必须同步健全排污系统，建设相应的污水集中处理设施。旧城改造应当逐步建立健全排污系统和相应的污水集</w:t>
            </w:r>
          </w:p>
          <w:p>
            <w:pPr>
              <w:pStyle w:val="12"/>
              <w:spacing w:line="245" w:lineRule="exact"/>
              <w:ind w:left="106"/>
              <w:rPr>
                <w:sz w:val="21"/>
              </w:rPr>
            </w:pPr>
            <w:r>
              <w:rPr>
                <w:sz w:val="21"/>
              </w:rPr>
              <w:t>中处理设施。</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before="10" w:line="252" w:lineRule="exact"/>
              <w:ind w:left="106"/>
              <w:rPr>
                <w:sz w:val="21"/>
              </w:rPr>
            </w:pPr>
            <w:r>
              <w:rPr>
                <w:rFonts w:ascii="Calibri" w:eastAsia="Calibri"/>
                <w:sz w:val="21"/>
              </w:rPr>
              <w:t xml:space="preserve">3. </w:t>
            </w:r>
            <w:r>
              <w:rPr>
                <w:sz w:val="21"/>
              </w:rPr>
              <w:t>使用农药应当符合国家《农药安全使用标准》的规定。运输、存贮农药和处理过期失效农药，必须加强管理，防止造成水污染。</w:t>
            </w:r>
          </w:p>
        </w:tc>
        <w:tc>
          <w:tcPr>
            <w:tcW w:w="5044" w:type="dxa"/>
            <w:vMerge w:val="continue"/>
            <w:tcBorders>
              <w:top w:val="nil"/>
            </w:tcBorders>
          </w:tcPr>
          <w:p>
            <w:pPr>
              <w:rPr>
                <w:sz w:val="2"/>
                <w:szCs w:val="2"/>
              </w:rPr>
            </w:pPr>
          </w:p>
        </w:tc>
      </w:tr>
    </w:tbl>
    <w:p>
      <w:pPr>
        <w:rPr>
          <w:sz w:val="2"/>
          <w:szCs w:val="2"/>
        </w:rPr>
        <w:sectPr>
          <w:pgSz w:w="23760" w:h="16790" w:orient="landscape"/>
          <w:pgMar w:top="1080" w:right="660" w:bottom="1080" w:left="860" w:header="0" w:footer="894" w:gutter="0"/>
          <w:cols w:space="720" w:num="1"/>
        </w:sectPr>
      </w:pPr>
    </w:p>
    <w:tbl>
      <w:tblPr>
        <w:tblStyle w:val="3"/>
        <w:tblW w:w="20946"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1714"/>
        <w:gridCol w:w="716"/>
        <w:gridCol w:w="12334"/>
        <w:gridCol w:w="5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138" w:type="dxa"/>
          </w:tcPr>
          <w:p>
            <w:pPr>
              <w:pStyle w:val="12"/>
              <w:spacing w:line="222" w:lineRule="exact"/>
              <w:ind w:left="357"/>
              <w:rPr>
                <w:b/>
                <w:sz w:val="21"/>
              </w:rPr>
            </w:pPr>
            <w:r>
              <w:rPr>
                <w:b/>
                <w:sz w:val="21"/>
              </w:rPr>
              <w:t>维度</w:t>
            </w:r>
          </w:p>
        </w:tc>
        <w:tc>
          <w:tcPr>
            <w:tcW w:w="1714" w:type="dxa"/>
          </w:tcPr>
          <w:p>
            <w:pPr>
              <w:pStyle w:val="12"/>
              <w:spacing w:line="222" w:lineRule="exact"/>
              <w:ind w:left="223"/>
              <w:rPr>
                <w:b/>
                <w:sz w:val="21"/>
              </w:rPr>
            </w:pPr>
            <w:r>
              <w:rPr>
                <w:b/>
                <w:sz w:val="21"/>
              </w:rPr>
              <w:t>清单编制要求</w:t>
            </w:r>
          </w:p>
        </w:tc>
        <w:tc>
          <w:tcPr>
            <w:tcW w:w="716" w:type="dxa"/>
          </w:tcPr>
          <w:p>
            <w:pPr>
              <w:pStyle w:val="12"/>
              <w:spacing w:line="222" w:lineRule="exact"/>
              <w:ind w:left="126" w:right="118"/>
              <w:jc w:val="center"/>
              <w:rPr>
                <w:b/>
                <w:sz w:val="21"/>
              </w:rPr>
            </w:pPr>
            <w:r>
              <w:rPr>
                <w:b/>
                <w:sz w:val="21"/>
              </w:rPr>
              <w:t>序号</w:t>
            </w:r>
          </w:p>
        </w:tc>
        <w:tc>
          <w:tcPr>
            <w:tcW w:w="12334" w:type="dxa"/>
          </w:tcPr>
          <w:p>
            <w:pPr>
              <w:pStyle w:val="12"/>
              <w:spacing w:line="222" w:lineRule="exact"/>
              <w:ind w:left="5722" w:right="5717"/>
              <w:jc w:val="center"/>
              <w:rPr>
                <w:b/>
                <w:sz w:val="21"/>
              </w:rPr>
            </w:pPr>
            <w:r>
              <w:rPr>
                <w:b/>
                <w:sz w:val="21"/>
              </w:rPr>
              <w:t>准入要求</w:t>
            </w:r>
          </w:p>
        </w:tc>
        <w:tc>
          <w:tcPr>
            <w:tcW w:w="5044" w:type="dxa"/>
          </w:tcPr>
          <w:p>
            <w:pPr>
              <w:pStyle w:val="12"/>
              <w:spacing w:line="222" w:lineRule="exact"/>
              <w:ind w:left="2077" w:right="2072"/>
              <w:jc w:val="center"/>
              <w:rPr>
                <w:b/>
                <w:sz w:val="21"/>
              </w:rPr>
            </w:pPr>
            <w:r>
              <w:rPr>
                <w:b/>
                <w:sz w:val="21"/>
              </w:rPr>
              <w:t>编制依据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138" w:type="dxa"/>
          </w:tcPr>
          <w:p>
            <w:pPr>
              <w:pStyle w:val="12"/>
              <w:rPr>
                <w:rFonts w:ascii="Times New Roman"/>
                <w:sz w:val="20"/>
              </w:rPr>
            </w:pPr>
          </w:p>
        </w:tc>
        <w:tc>
          <w:tcPr>
            <w:tcW w:w="1714" w:type="dxa"/>
          </w:tcPr>
          <w:p>
            <w:pPr>
              <w:pStyle w:val="12"/>
              <w:rPr>
                <w:rFonts w:ascii="Times New Roman"/>
                <w:sz w:val="20"/>
              </w:rPr>
            </w:pPr>
          </w:p>
        </w:tc>
        <w:tc>
          <w:tcPr>
            <w:tcW w:w="716" w:type="dxa"/>
          </w:tcPr>
          <w:p>
            <w:pPr>
              <w:pStyle w:val="12"/>
              <w:rPr>
                <w:rFonts w:ascii="Times New Roman"/>
                <w:sz w:val="20"/>
              </w:rPr>
            </w:pPr>
          </w:p>
        </w:tc>
        <w:tc>
          <w:tcPr>
            <w:tcW w:w="12334" w:type="dxa"/>
          </w:tcPr>
          <w:p>
            <w:pPr>
              <w:pStyle w:val="12"/>
              <w:spacing w:before="54"/>
              <w:ind w:left="106" w:right="100"/>
              <w:rPr>
                <w:sz w:val="21"/>
              </w:rPr>
            </w:pPr>
            <w:r>
              <w:rPr>
                <w:rFonts w:ascii="Times New Roman" w:eastAsia="Times New Roman"/>
                <w:sz w:val="21"/>
              </w:rPr>
              <w:t xml:space="preserve">4. </w:t>
            </w:r>
            <w:r>
              <w:rPr>
                <w:sz w:val="21"/>
              </w:rPr>
              <w:t>严格控制新污染源。新建、扩建、改建直接或者间接向水体排放污染物的建设项目和其它水上设施，必须将防治水污染设施与建设项目的主体工程同时设计、同时施工、同时投产使用。</w:t>
            </w:r>
          </w:p>
        </w:tc>
        <w:tc>
          <w:tcPr>
            <w:tcW w:w="504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38"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5"/>
              <w:rPr>
                <w:b/>
              </w:rPr>
            </w:pPr>
          </w:p>
          <w:p>
            <w:pPr>
              <w:pStyle w:val="12"/>
              <w:spacing w:line="249" w:lineRule="auto"/>
              <w:ind w:left="359" w:right="134" w:hanging="212"/>
              <w:rPr>
                <w:sz w:val="21"/>
              </w:rPr>
            </w:pPr>
            <w:r>
              <w:rPr>
                <w:sz w:val="21"/>
              </w:rPr>
              <w:t>空间布局约束</w:t>
            </w:r>
          </w:p>
        </w:tc>
        <w:tc>
          <w:tcPr>
            <w:tcW w:w="1714" w:type="dxa"/>
            <w:vMerge w:val="restart"/>
          </w:tcPr>
          <w:p>
            <w:pPr>
              <w:pStyle w:val="12"/>
              <w:rPr>
                <w:b/>
                <w:sz w:val="20"/>
              </w:rPr>
            </w:pPr>
          </w:p>
          <w:p>
            <w:pPr>
              <w:pStyle w:val="12"/>
              <w:rPr>
                <w:b/>
                <w:sz w:val="20"/>
              </w:rPr>
            </w:pPr>
          </w:p>
          <w:p>
            <w:pPr>
              <w:pStyle w:val="12"/>
              <w:rPr>
                <w:b/>
                <w:sz w:val="20"/>
              </w:rPr>
            </w:pPr>
          </w:p>
          <w:p>
            <w:pPr>
              <w:pStyle w:val="12"/>
              <w:spacing w:before="9"/>
              <w:rPr>
                <w:b/>
                <w:sz w:val="26"/>
              </w:rPr>
            </w:pPr>
          </w:p>
          <w:p>
            <w:pPr>
              <w:pStyle w:val="12"/>
              <w:spacing w:line="213" w:lineRule="auto"/>
              <w:ind w:left="107" w:right="98"/>
              <w:rPr>
                <w:sz w:val="21"/>
              </w:rPr>
            </w:pPr>
            <w:r>
              <w:rPr>
                <w:sz w:val="21"/>
              </w:rPr>
              <w:t>允许开发建设活动的特殊要求</w:t>
            </w:r>
          </w:p>
        </w:tc>
        <w:tc>
          <w:tcPr>
            <w:tcW w:w="716" w:type="dxa"/>
            <w:vMerge w:val="restart"/>
          </w:tcPr>
          <w:p>
            <w:pPr>
              <w:pStyle w:val="12"/>
              <w:rPr>
                <w:b/>
                <w:sz w:val="20"/>
              </w:rPr>
            </w:pPr>
          </w:p>
          <w:p>
            <w:pPr>
              <w:pStyle w:val="12"/>
              <w:spacing w:before="7"/>
              <w:rPr>
                <w:b/>
                <w:sz w:val="26"/>
              </w:rPr>
            </w:pPr>
          </w:p>
          <w:p>
            <w:pPr>
              <w:pStyle w:val="12"/>
              <w:ind w:left="126" w:right="114"/>
              <w:jc w:val="center"/>
              <w:rPr>
                <w:rFonts w:ascii="Calibri"/>
                <w:sz w:val="21"/>
              </w:rPr>
            </w:pPr>
            <w:r>
              <w:rPr>
                <w:rFonts w:ascii="Calibri"/>
                <w:sz w:val="21"/>
              </w:rPr>
              <w:t>24</w:t>
            </w:r>
          </w:p>
        </w:tc>
        <w:tc>
          <w:tcPr>
            <w:tcW w:w="12334" w:type="dxa"/>
          </w:tcPr>
          <w:p>
            <w:pPr>
              <w:pStyle w:val="12"/>
              <w:spacing w:line="236" w:lineRule="exact"/>
              <w:ind w:left="106"/>
              <w:rPr>
                <w:sz w:val="21"/>
              </w:rPr>
            </w:pPr>
            <w:r>
              <w:rPr>
                <w:rFonts w:ascii="Times New Roman" w:eastAsia="Times New Roman"/>
                <w:sz w:val="21"/>
              </w:rPr>
              <w:t xml:space="preserve">1. </w:t>
            </w:r>
            <w:r>
              <w:rPr>
                <w:sz w:val="21"/>
              </w:rPr>
              <w:t>剑江河流域内的建设项目，应当依法编制水土保持方案，采取水土流失预防和治理措施。剑江河流域内的房地产开发、工业企业</w:t>
            </w:r>
          </w:p>
          <w:p>
            <w:pPr>
              <w:pStyle w:val="12"/>
              <w:spacing w:line="223" w:lineRule="exact"/>
              <w:ind w:left="106"/>
              <w:rPr>
                <w:sz w:val="21"/>
              </w:rPr>
            </w:pPr>
            <w:r>
              <w:rPr>
                <w:sz w:val="21"/>
              </w:rPr>
              <w:t>等建设项目应当建设雨水、污水分离排放系统。</w:t>
            </w:r>
          </w:p>
        </w:tc>
        <w:tc>
          <w:tcPr>
            <w:tcW w:w="5044" w:type="dxa"/>
            <w:vMerge w:val="restart"/>
          </w:tcPr>
          <w:p>
            <w:pPr>
              <w:pStyle w:val="12"/>
              <w:rPr>
                <w:b/>
                <w:sz w:val="20"/>
              </w:rPr>
            </w:pPr>
          </w:p>
          <w:p>
            <w:pPr>
              <w:pStyle w:val="12"/>
              <w:spacing w:before="5"/>
              <w:rPr>
                <w:b/>
                <w:sz w:val="16"/>
              </w:rPr>
            </w:pPr>
          </w:p>
          <w:p>
            <w:pPr>
              <w:pStyle w:val="12"/>
              <w:ind w:left="105"/>
              <w:rPr>
                <w:sz w:val="21"/>
              </w:rPr>
            </w:pPr>
            <w:r>
              <w:rPr>
                <w:sz w:val="21"/>
              </w:rPr>
              <w:t>《黔南布依族苗族自治州剑江河流域保护条例》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before="2" w:line="240" w:lineRule="exact"/>
              <w:ind w:left="106" w:right="95"/>
              <w:jc w:val="both"/>
              <w:rPr>
                <w:sz w:val="21"/>
              </w:rPr>
            </w:pPr>
            <w:r>
              <w:rPr>
                <w:rFonts w:ascii="Times New Roman" w:eastAsia="Times New Roman"/>
                <w:sz w:val="21"/>
              </w:rPr>
              <w:t xml:space="preserve">2. </w:t>
            </w:r>
            <w:r>
              <w:rPr>
                <w:sz w:val="21"/>
              </w:rPr>
              <w:t>县级人民政府应当根据生态功能保护的需要，对下列水体、区域依法划定保护区，并采取措施，保证保护区的水质符合规定用途</w:t>
            </w:r>
            <w:r>
              <w:rPr>
                <w:spacing w:val="-3"/>
                <w:sz w:val="21"/>
              </w:rPr>
              <w:t xml:space="preserve">的水环境质量标准： </w:t>
            </w:r>
            <w:r>
              <w:rPr>
                <w:sz w:val="21"/>
              </w:rPr>
              <w:t>（</w:t>
            </w:r>
            <w:r>
              <w:rPr>
                <w:rFonts w:ascii="Times New Roman" w:eastAsia="Times New Roman"/>
                <w:sz w:val="21"/>
              </w:rPr>
              <w:t>1</w:t>
            </w:r>
            <w:r>
              <w:rPr>
                <w:sz w:val="21"/>
              </w:rPr>
              <w:t>）</w:t>
            </w:r>
            <w:r>
              <w:rPr>
                <w:spacing w:val="-2"/>
                <w:sz w:val="21"/>
              </w:rPr>
              <w:t xml:space="preserve">主要河流源头区、重要水源涵养区； </w:t>
            </w:r>
            <w:r>
              <w:rPr>
                <w:sz w:val="21"/>
              </w:rPr>
              <w:t>（</w:t>
            </w:r>
            <w:r>
              <w:rPr>
                <w:rFonts w:ascii="Times New Roman" w:eastAsia="Times New Roman"/>
                <w:sz w:val="21"/>
              </w:rPr>
              <w:t>2</w:t>
            </w:r>
            <w:r>
              <w:rPr>
                <w:sz w:val="21"/>
              </w:rPr>
              <w:t>）</w:t>
            </w:r>
            <w:r>
              <w:rPr>
                <w:spacing w:val="-2"/>
                <w:sz w:val="21"/>
              </w:rPr>
              <w:t xml:space="preserve">重要的水库、湿地、城镇饮用水备用水源； </w:t>
            </w:r>
            <w:r>
              <w:rPr>
                <w:sz w:val="21"/>
              </w:rPr>
              <w:t>（</w:t>
            </w:r>
            <w:r>
              <w:rPr>
                <w:rFonts w:ascii="Times New Roman" w:eastAsia="Times New Roman"/>
                <w:sz w:val="21"/>
              </w:rPr>
              <w:t>3</w:t>
            </w:r>
            <w:r>
              <w:rPr>
                <w:sz w:val="21"/>
              </w:rPr>
              <w:t>）</w:t>
            </w:r>
            <w:r>
              <w:rPr>
                <w:spacing w:val="-3"/>
                <w:sz w:val="21"/>
              </w:rPr>
              <w:t>重要渔业水</w:t>
            </w:r>
            <w:r>
              <w:rPr>
                <w:spacing w:val="-8"/>
                <w:sz w:val="21"/>
              </w:rPr>
              <w:t xml:space="preserve">体、保护生物物种资源的水体； </w:t>
            </w:r>
            <w:r>
              <w:rPr>
                <w:spacing w:val="-5"/>
                <w:sz w:val="21"/>
              </w:rPr>
              <w:t>（</w:t>
            </w:r>
            <w:r>
              <w:rPr>
                <w:rFonts w:ascii="Times New Roman" w:eastAsia="Times New Roman"/>
                <w:spacing w:val="-5"/>
                <w:sz w:val="21"/>
              </w:rPr>
              <w:t>4</w:t>
            </w:r>
            <w:r>
              <w:rPr>
                <w:spacing w:val="-5"/>
                <w:sz w:val="21"/>
              </w:rPr>
              <w:t>）</w:t>
            </w:r>
            <w:r>
              <w:rPr>
                <w:spacing w:val="-7"/>
                <w:sz w:val="21"/>
              </w:rPr>
              <w:t>其他具有重要生态功能价值的水体。 依法划定的保护区应当向社会公布。在保护区内，禁止新</w:t>
            </w:r>
            <w:r>
              <w:rPr>
                <w:spacing w:val="-5"/>
                <w:sz w:val="21"/>
              </w:rPr>
              <w:t>建排污口；在保护区外新建、改建和扩建排污口，应当保证保护区水体不受污染。</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line="220" w:lineRule="exact"/>
              <w:ind w:left="126" w:right="118"/>
              <w:jc w:val="center"/>
              <w:rPr>
                <w:rFonts w:ascii="Calibri"/>
                <w:sz w:val="21"/>
              </w:rPr>
            </w:pPr>
            <w:r>
              <w:rPr>
                <w:rFonts w:ascii="Calibri"/>
                <w:sz w:val="21"/>
              </w:rPr>
              <w:t>25</w:t>
            </w:r>
          </w:p>
        </w:tc>
        <w:tc>
          <w:tcPr>
            <w:tcW w:w="12334" w:type="dxa"/>
          </w:tcPr>
          <w:p>
            <w:pPr>
              <w:pStyle w:val="12"/>
              <w:spacing w:line="220" w:lineRule="exact"/>
              <w:ind w:left="106"/>
              <w:rPr>
                <w:sz w:val="21"/>
              </w:rPr>
            </w:pPr>
            <w:r>
              <w:rPr>
                <w:sz w:val="21"/>
              </w:rPr>
              <w:t>樟江流域内的新建的城镇建设、工业企业、养殖业等建设项目应当配套建设雨污分流系统，已建项目应当完善雨污分流系统。</w:t>
            </w:r>
          </w:p>
        </w:tc>
        <w:tc>
          <w:tcPr>
            <w:tcW w:w="5044" w:type="dxa"/>
          </w:tcPr>
          <w:p>
            <w:pPr>
              <w:pStyle w:val="12"/>
              <w:spacing w:line="220" w:lineRule="exact"/>
              <w:ind w:left="105"/>
              <w:rPr>
                <w:sz w:val="21"/>
              </w:rPr>
            </w:pPr>
            <w:r>
              <w:rPr>
                <w:sz w:val="21"/>
              </w:rPr>
              <w:t>《黔南布依族苗族自治州樟江流域保护条例》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restart"/>
          </w:tcPr>
          <w:p>
            <w:pPr>
              <w:pStyle w:val="12"/>
              <w:spacing w:before="10"/>
              <w:rPr>
                <w:b/>
                <w:sz w:val="27"/>
              </w:rPr>
            </w:pPr>
          </w:p>
          <w:p>
            <w:pPr>
              <w:pStyle w:val="12"/>
              <w:ind w:left="126" w:right="118"/>
              <w:jc w:val="center"/>
              <w:rPr>
                <w:rFonts w:ascii="Calibri"/>
                <w:sz w:val="21"/>
              </w:rPr>
            </w:pPr>
            <w:r>
              <w:rPr>
                <w:rFonts w:ascii="Calibri"/>
                <w:sz w:val="21"/>
              </w:rPr>
              <w:t>26</w:t>
            </w:r>
          </w:p>
        </w:tc>
        <w:tc>
          <w:tcPr>
            <w:tcW w:w="12334" w:type="dxa"/>
          </w:tcPr>
          <w:p>
            <w:pPr>
              <w:pStyle w:val="12"/>
              <w:spacing w:line="236" w:lineRule="exact"/>
              <w:ind w:left="106"/>
              <w:rPr>
                <w:sz w:val="21"/>
              </w:rPr>
            </w:pPr>
            <w:r>
              <w:rPr>
                <w:sz w:val="21"/>
              </w:rPr>
              <w:t>尽快整治赤水河、乌江流域的生态环境，对辖区内的新、改、扩建项目严格执行国家和地方的环境保护法规及制度，强化对老污染源</w:t>
            </w:r>
          </w:p>
          <w:p>
            <w:pPr>
              <w:pStyle w:val="12"/>
              <w:spacing w:line="223" w:lineRule="exact"/>
              <w:ind w:left="106"/>
              <w:rPr>
                <w:sz w:val="21"/>
              </w:rPr>
            </w:pPr>
            <w:r>
              <w:rPr>
                <w:sz w:val="21"/>
              </w:rPr>
              <w:t>的关、停、并、转及限期治理，降低工业污染对生态环境的影响。</w:t>
            </w:r>
          </w:p>
        </w:tc>
        <w:tc>
          <w:tcPr>
            <w:tcW w:w="5044" w:type="dxa"/>
            <w:vMerge w:val="restart"/>
          </w:tcPr>
          <w:p>
            <w:pPr>
              <w:pStyle w:val="12"/>
              <w:spacing w:before="8"/>
              <w:rPr>
                <w:b/>
                <w:sz w:val="17"/>
              </w:rPr>
            </w:pPr>
          </w:p>
          <w:p>
            <w:pPr>
              <w:pStyle w:val="12"/>
              <w:ind w:left="105"/>
              <w:rPr>
                <w:sz w:val="21"/>
              </w:rPr>
            </w:pPr>
            <w:r>
              <w:rPr>
                <w:sz w:val="21"/>
              </w:rPr>
              <w:t>《黔南州土地利用规划》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line="220" w:lineRule="exact"/>
              <w:ind w:left="106"/>
              <w:rPr>
                <w:sz w:val="21"/>
              </w:rPr>
            </w:pPr>
            <w:r>
              <w:rPr>
                <w:sz w:val="21"/>
              </w:rPr>
              <w:t>新建项目应执行严格的环境准入条件，实行</w:t>
            </w:r>
            <w:r>
              <w:rPr>
                <w:rFonts w:ascii="Times New Roman" w:hAnsi="Times New Roman" w:eastAsia="Times New Roman"/>
                <w:sz w:val="21"/>
              </w:rPr>
              <w:t>“</w:t>
            </w:r>
            <w:r>
              <w:rPr>
                <w:sz w:val="21"/>
              </w:rPr>
              <w:t>环境一票否决制</w:t>
            </w:r>
            <w:r>
              <w:rPr>
                <w:rFonts w:ascii="Times New Roman" w:hAnsi="Times New Roman" w:eastAsia="Times New Roman"/>
                <w:sz w:val="21"/>
              </w:rPr>
              <w:t>”</w:t>
            </w:r>
            <w:r>
              <w:rPr>
                <w:sz w:val="21"/>
              </w:rPr>
              <w:t>。</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line="220" w:lineRule="exact"/>
              <w:ind w:left="125" w:right="118"/>
              <w:jc w:val="center"/>
              <w:rPr>
                <w:rFonts w:ascii="Calibri"/>
                <w:sz w:val="21"/>
              </w:rPr>
            </w:pPr>
            <w:r>
              <w:rPr>
                <w:rFonts w:ascii="Calibri"/>
                <w:sz w:val="21"/>
              </w:rPr>
              <w:t>27</w:t>
            </w:r>
          </w:p>
        </w:tc>
        <w:tc>
          <w:tcPr>
            <w:tcW w:w="12334" w:type="dxa"/>
          </w:tcPr>
          <w:p>
            <w:pPr>
              <w:pStyle w:val="12"/>
              <w:spacing w:line="220" w:lineRule="exact"/>
              <w:ind w:left="106"/>
              <w:rPr>
                <w:sz w:val="21"/>
              </w:rPr>
            </w:pPr>
            <w:r>
              <w:rPr>
                <w:sz w:val="21"/>
              </w:rPr>
              <w:t>以井采为主的水源地要控制开采量，要极力避免地面塌陷等不良环境效应的发生。</w:t>
            </w:r>
          </w:p>
        </w:tc>
        <w:tc>
          <w:tcPr>
            <w:tcW w:w="5044" w:type="dxa"/>
          </w:tcPr>
          <w:p>
            <w:pPr>
              <w:pStyle w:val="12"/>
              <w:spacing w:line="220" w:lineRule="exact"/>
              <w:ind w:left="105"/>
              <w:rPr>
                <w:sz w:val="21"/>
              </w:rPr>
            </w:pPr>
            <w:r>
              <w:rPr>
                <w:sz w:val="21"/>
              </w:rPr>
              <w:t>《黔南州“十三五”生态建设规划》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1138" w:type="dxa"/>
            <w:vMerge w:val="continue"/>
            <w:tcBorders>
              <w:top w:val="nil"/>
            </w:tcBorders>
          </w:tcPr>
          <w:p>
            <w:pPr>
              <w:rPr>
                <w:sz w:val="2"/>
                <w:szCs w:val="2"/>
              </w:rPr>
            </w:pPr>
          </w:p>
        </w:tc>
        <w:tc>
          <w:tcPr>
            <w:tcW w:w="1714" w:type="dxa"/>
            <w:vMerge w:val="restart"/>
          </w:tcPr>
          <w:p>
            <w:pPr>
              <w:pStyle w:val="12"/>
              <w:spacing w:before="130" w:line="213" w:lineRule="auto"/>
              <w:ind w:left="107" w:right="98"/>
              <w:jc w:val="both"/>
              <w:rPr>
                <w:sz w:val="21"/>
              </w:rPr>
            </w:pPr>
            <w:r>
              <w:rPr>
                <w:sz w:val="21"/>
              </w:rPr>
              <w:t>不符合空间布局要求的活动退出要求</w:t>
            </w:r>
          </w:p>
        </w:tc>
        <w:tc>
          <w:tcPr>
            <w:tcW w:w="716" w:type="dxa"/>
          </w:tcPr>
          <w:p>
            <w:pPr>
              <w:pStyle w:val="12"/>
              <w:spacing w:before="1"/>
              <w:rPr>
                <w:b/>
                <w:sz w:val="18"/>
              </w:rPr>
            </w:pPr>
          </w:p>
          <w:p>
            <w:pPr>
              <w:pStyle w:val="12"/>
              <w:spacing w:before="1"/>
              <w:ind w:left="126" w:right="114"/>
              <w:jc w:val="center"/>
              <w:rPr>
                <w:rFonts w:ascii="Calibri"/>
                <w:sz w:val="21"/>
              </w:rPr>
            </w:pPr>
            <w:r>
              <w:rPr>
                <w:rFonts w:ascii="Calibri"/>
                <w:sz w:val="21"/>
              </w:rPr>
              <w:t>28</w:t>
            </w:r>
          </w:p>
        </w:tc>
        <w:tc>
          <w:tcPr>
            <w:tcW w:w="12334" w:type="dxa"/>
          </w:tcPr>
          <w:p>
            <w:pPr>
              <w:pStyle w:val="12"/>
              <w:spacing w:line="240" w:lineRule="exact"/>
              <w:ind w:left="106" w:right="96"/>
              <w:jc w:val="both"/>
              <w:rPr>
                <w:sz w:val="21"/>
              </w:rPr>
            </w:pPr>
            <w:r>
              <w:rPr>
                <w:rFonts w:ascii="Times New Roman" w:eastAsia="Times New Roman"/>
                <w:sz w:val="21"/>
              </w:rPr>
              <w:t xml:space="preserve">2018 </w:t>
            </w:r>
            <w:r>
              <w:rPr>
                <w:spacing w:val="-3"/>
                <w:sz w:val="21"/>
              </w:rPr>
              <w:t>年底前，制定并实施退城进园、技改升级、退二进三专项计划。加快城市</w:t>
            </w:r>
            <w:r>
              <w:rPr>
                <w:sz w:val="21"/>
              </w:rPr>
              <w:t>（县城）</w:t>
            </w:r>
            <w:r>
              <w:rPr>
                <w:spacing w:val="-3"/>
                <w:sz w:val="21"/>
              </w:rPr>
              <w:t>建成区重污染企业、危险化学品企业搬迁改</w:t>
            </w:r>
            <w:r>
              <w:rPr>
                <w:spacing w:val="-10"/>
                <w:sz w:val="21"/>
              </w:rPr>
              <w:t>造或关闭退出，推动实施一批钢铁、水泥、平板玻璃、焦化、化工等重污染企业搬迁工程，采取彻底关停、转型发展、就地改造、域</w:t>
            </w:r>
            <w:r>
              <w:rPr>
                <w:spacing w:val="-5"/>
                <w:sz w:val="21"/>
              </w:rPr>
              <w:t>外搬迁等方式，推动转型升级。</w:t>
            </w:r>
          </w:p>
        </w:tc>
        <w:tc>
          <w:tcPr>
            <w:tcW w:w="5044" w:type="dxa"/>
          </w:tcPr>
          <w:p>
            <w:pPr>
              <w:pStyle w:val="12"/>
              <w:spacing w:before="4"/>
              <w:rPr>
                <w:b/>
                <w:sz w:val="17"/>
              </w:rPr>
            </w:pPr>
          </w:p>
          <w:p>
            <w:pPr>
              <w:pStyle w:val="12"/>
              <w:ind w:left="105"/>
              <w:rPr>
                <w:sz w:val="21"/>
              </w:rPr>
            </w:pPr>
            <w:r>
              <w:rPr>
                <w:sz w:val="21"/>
              </w:rPr>
              <w:t>《黔南州打赢蓝天保卫战三年行动计划》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line="222" w:lineRule="exact"/>
              <w:ind w:left="126" w:right="114"/>
              <w:jc w:val="center"/>
              <w:rPr>
                <w:rFonts w:ascii="Calibri"/>
                <w:sz w:val="21"/>
              </w:rPr>
            </w:pPr>
            <w:r>
              <w:rPr>
                <w:rFonts w:ascii="Calibri"/>
                <w:sz w:val="21"/>
              </w:rPr>
              <w:t>29</w:t>
            </w:r>
          </w:p>
        </w:tc>
        <w:tc>
          <w:tcPr>
            <w:tcW w:w="12334" w:type="dxa"/>
          </w:tcPr>
          <w:p>
            <w:pPr>
              <w:pStyle w:val="12"/>
              <w:spacing w:line="222" w:lineRule="exact"/>
              <w:ind w:left="106"/>
              <w:rPr>
                <w:sz w:val="21"/>
              </w:rPr>
            </w:pPr>
            <w:r>
              <w:rPr>
                <w:sz w:val="21"/>
              </w:rPr>
              <w:t>对已建成并对岩溶资源造成损害或污染的设施，应当限期治理或者拆除。</w:t>
            </w:r>
          </w:p>
        </w:tc>
        <w:tc>
          <w:tcPr>
            <w:tcW w:w="5044" w:type="dxa"/>
          </w:tcPr>
          <w:p>
            <w:pPr>
              <w:pStyle w:val="12"/>
              <w:spacing w:line="222" w:lineRule="exact"/>
              <w:ind w:left="105"/>
              <w:rPr>
                <w:sz w:val="21"/>
              </w:rPr>
            </w:pPr>
            <w:r>
              <w:rPr>
                <w:sz w:val="21"/>
              </w:rPr>
              <w:t>《黔南布依族苗族自治州岩溶资源保护条例》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138"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8" w:line="213" w:lineRule="auto"/>
              <w:ind w:left="107" w:right="92"/>
              <w:rPr>
                <w:sz w:val="21"/>
              </w:rPr>
            </w:pPr>
            <w:r>
              <w:rPr>
                <w:sz w:val="21"/>
              </w:rPr>
              <w:t>污染物排放管控</w:t>
            </w:r>
          </w:p>
        </w:tc>
        <w:tc>
          <w:tcPr>
            <w:tcW w:w="1714" w:type="dxa"/>
            <w:vMerge w:val="restart"/>
          </w:tcPr>
          <w:p>
            <w:pPr>
              <w:pStyle w:val="12"/>
              <w:spacing w:before="144" w:line="213" w:lineRule="auto"/>
              <w:ind w:left="107" w:right="540"/>
              <w:rPr>
                <w:sz w:val="21"/>
              </w:rPr>
            </w:pPr>
            <w:r>
              <w:rPr>
                <w:sz w:val="21"/>
              </w:rPr>
              <w:t>允许排放量要求</w:t>
            </w:r>
          </w:p>
        </w:tc>
        <w:tc>
          <w:tcPr>
            <w:tcW w:w="716" w:type="dxa"/>
            <w:vMerge w:val="restart"/>
          </w:tcPr>
          <w:p>
            <w:pPr>
              <w:pStyle w:val="12"/>
              <w:spacing w:before="12"/>
              <w:rPr>
                <w:b/>
                <w:sz w:val="28"/>
              </w:rPr>
            </w:pPr>
          </w:p>
          <w:p>
            <w:pPr>
              <w:pStyle w:val="12"/>
              <w:ind w:left="126" w:right="114"/>
              <w:jc w:val="center"/>
              <w:rPr>
                <w:rFonts w:ascii="Calibri"/>
                <w:sz w:val="21"/>
              </w:rPr>
            </w:pPr>
            <w:r>
              <w:rPr>
                <w:rFonts w:ascii="Calibri"/>
                <w:sz w:val="21"/>
              </w:rPr>
              <w:t>30</w:t>
            </w:r>
          </w:p>
        </w:tc>
        <w:tc>
          <w:tcPr>
            <w:tcW w:w="12334" w:type="dxa"/>
          </w:tcPr>
          <w:p>
            <w:pPr>
              <w:pStyle w:val="12"/>
              <w:spacing w:before="27"/>
              <w:ind w:left="106"/>
              <w:rPr>
                <w:sz w:val="21"/>
              </w:rPr>
            </w:pPr>
            <w:r>
              <w:rPr>
                <w:sz w:val="21"/>
              </w:rPr>
              <w:t xml:space="preserve">到 </w:t>
            </w:r>
            <w:r>
              <w:rPr>
                <w:rFonts w:ascii="Times New Roman" w:eastAsia="Times New Roman"/>
                <w:sz w:val="21"/>
              </w:rPr>
              <w:t xml:space="preserve">2020 </w:t>
            </w:r>
            <w:r>
              <w:rPr>
                <w:sz w:val="21"/>
              </w:rPr>
              <w:t xml:space="preserve">年，二氧化硫、氮氧化物排放总量分别比 </w:t>
            </w:r>
            <w:r>
              <w:rPr>
                <w:rFonts w:ascii="Times New Roman" w:eastAsia="Times New Roman"/>
                <w:sz w:val="21"/>
              </w:rPr>
              <w:t xml:space="preserve">2015 </w:t>
            </w:r>
            <w:r>
              <w:rPr>
                <w:sz w:val="21"/>
              </w:rPr>
              <w:t xml:space="preserve">年下降 </w:t>
            </w:r>
            <w:r>
              <w:rPr>
                <w:rFonts w:ascii="Times New Roman" w:eastAsia="Times New Roman"/>
                <w:sz w:val="21"/>
              </w:rPr>
              <w:t>7%</w:t>
            </w:r>
            <w:r>
              <w:rPr>
                <w:sz w:val="21"/>
              </w:rPr>
              <w:t>；</w:t>
            </w:r>
          </w:p>
        </w:tc>
        <w:tc>
          <w:tcPr>
            <w:tcW w:w="5044" w:type="dxa"/>
            <w:vMerge w:val="restart"/>
          </w:tcPr>
          <w:p>
            <w:pPr>
              <w:pStyle w:val="12"/>
              <w:spacing w:before="10"/>
              <w:rPr>
                <w:b/>
                <w:sz w:val="18"/>
              </w:rPr>
            </w:pPr>
          </w:p>
          <w:p>
            <w:pPr>
              <w:pStyle w:val="12"/>
              <w:ind w:left="105"/>
              <w:rPr>
                <w:sz w:val="21"/>
              </w:rPr>
            </w:pPr>
            <w:r>
              <w:rPr>
                <w:sz w:val="21"/>
              </w:rPr>
              <w:t>《黔南州打赢蓝天保卫战三年行动计划》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before="70"/>
              <w:ind w:left="106"/>
              <w:rPr>
                <w:sz w:val="21"/>
              </w:rPr>
            </w:pPr>
            <w:r>
              <w:rPr>
                <w:sz w:val="21"/>
              </w:rPr>
              <w:t>坚持</w:t>
            </w:r>
            <w:r>
              <w:rPr>
                <w:rFonts w:ascii="Times New Roman" w:hAnsi="Times New Roman" w:eastAsia="Times New Roman"/>
                <w:sz w:val="21"/>
              </w:rPr>
              <w:t>“</w:t>
            </w:r>
            <w:r>
              <w:rPr>
                <w:sz w:val="21"/>
              </w:rPr>
              <w:t>疏堵结合、以疏为主</w:t>
            </w:r>
            <w:r>
              <w:rPr>
                <w:rFonts w:ascii="Times New Roman" w:hAnsi="Times New Roman" w:eastAsia="Times New Roman"/>
                <w:sz w:val="21"/>
              </w:rPr>
              <w:t>”</w:t>
            </w:r>
            <w:r>
              <w:rPr>
                <w:sz w:val="21"/>
              </w:rPr>
              <w:t>的原则，切实加强秸秆禁烧管控。</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1138" w:type="dxa"/>
            <w:vMerge w:val="continue"/>
            <w:tcBorders>
              <w:top w:val="nil"/>
            </w:tcBorders>
          </w:tcPr>
          <w:p>
            <w:pPr>
              <w:rPr>
                <w:sz w:val="2"/>
                <w:szCs w:val="2"/>
              </w:rPr>
            </w:pPr>
          </w:p>
        </w:tc>
        <w:tc>
          <w:tcPr>
            <w:tcW w:w="1714" w:type="dxa"/>
          </w:tcPr>
          <w:p>
            <w:pPr>
              <w:pStyle w:val="12"/>
              <w:spacing w:before="125" w:line="213" w:lineRule="auto"/>
              <w:ind w:left="107" w:right="751"/>
              <w:rPr>
                <w:sz w:val="21"/>
              </w:rPr>
            </w:pPr>
            <w:r>
              <w:rPr>
                <w:sz w:val="21"/>
              </w:rPr>
              <w:t>现 有 源 提标升级</w:t>
            </w:r>
          </w:p>
        </w:tc>
        <w:tc>
          <w:tcPr>
            <w:tcW w:w="716" w:type="dxa"/>
          </w:tcPr>
          <w:p>
            <w:pPr>
              <w:pStyle w:val="12"/>
              <w:spacing w:before="1"/>
              <w:rPr>
                <w:b/>
                <w:sz w:val="18"/>
              </w:rPr>
            </w:pPr>
          </w:p>
          <w:p>
            <w:pPr>
              <w:pStyle w:val="12"/>
              <w:ind w:left="126" w:right="114"/>
              <w:jc w:val="center"/>
              <w:rPr>
                <w:rFonts w:ascii="Calibri"/>
                <w:sz w:val="21"/>
              </w:rPr>
            </w:pPr>
            <w:r>
              <w:rPr>
                <w:rFonts w:ascii="Calibri"/>
                <w:sz w:val="21"/>
              </w:rPr>
              <w:t>31</w:t>
            </w:r>
          </w:p>
        </w:tc>
        <w:tc>
          <w:tcPr>
            <w:tcW w:w="12334" w:type="dxa"/>
          </w:tcPr>
          <w:p>
            <w:pPr>
              <w:pStyle w:val="12"/>
              <w:spacing w:line="240" w:lineRule="exact"/>
              <w:ind w:left="106" w:right="96"/>
              <w:jc w:val="both"/>
              <w:rPr>
                <w:sz w:val="21"/>
              </w:rPr>
            </w:pPr>
            <w:r>
              <w:rPr>
                <w:spacing w:val="-3"/>
                <w:sz w:val="21"/>
              </w:rPr>
              <w:t>持续推动火电机组超低排放改造，</w:t>
            </w:r>
            <w:r>
              <w:rPr>
                <w:rFonts w:ascii="Times New Roman" w:eastAsia="Times New Roman"/>
                <w:spacing w:val="-3"/>
                <w:sz w:val="21"/>
              </w:rPr>
              <w:t xml:space="preserve">2019 </w:t>
            </w:r>
            <w:r>
              <w:rPr>
                <w:spacing w:val="-6"/>
                <w:sz w:val="21"/>
              </w:rPr>
              <w:t xml:space="preserve">年实施国电都匀发电有限公司 </w:t>
            </w:r>
            <w:r>
              <w:rPr>
                <w:rFonts w:ascii="Times New Roman" w:eastAsia="Times New Roman"/>
                <w:sz w:val="21"/>
              </w:rPr>
              <w:t xml:space="preserve">2 </w:t>
            </w:r>
            <w:r>
              <w:rPr>
                <w:spacing w:val="-17"/>
                <w:sz w:val="21"/>
              </w:rPr>
              <w:t xml:space="preserve">台共 </w:t>
            </w:r>
            <w:r>
              <w:rPr>
                <w:rFonts w:ascii="Times New Roman" w:eastAsia="Times New Roman"/>
                <w:sz w:val="21"/>
              </w:rPr>
              <w:t xml:space="preserve">120 </w:t>
            </w:r>
            <w:r>
              <w:rPr>
                <w:spacing w:val="-7"/>
                <w:sz w:val="21"/>
              </w:rPr>
              <w:t xml:space="preserve">万千瓦机组超低排放改造，到 </w:t>
            </w:r>
            <w:r>
              <w:rPr>
                <w:rFonts w:ascii="Times New Roman" w:eastAsia="Times New Roman"/>
                <w:sz w:val="21"/>
              </w:rPr>
              <w:t xml:space="preserve">2020 </w:t>
            </w:r>
            <w:r>
              <w:rPr>
                <w:spacing w:val="-3"/>
                <w:sz w:val="21"/>
              </w:rPr>
              <w:t>年具备改造条件的燃煤机组全部完成超低排放改造。推进各类园区循环化改造、规范发展和提质增效。大力推进企业清洁生产，</w:t>
            </w:r>
            <w:r>
              <w:rPr>
                <w:rFonts w:ascii="Times New Roman" w:eastAsia="Times New Roman"/>
                <w:sz w:val="21"/>
              </w:rPr>
              <w:t xml:space="preserve">2019 </w:t>
            </w:r>
            <w:r>
              <w:rPr>
                <w:spacing w:val="-3"/>
                <w:sz w:val="21"/>
              </w:rPr>
              <w:t>年完成金正大</w:t>
            </w:r>
            <w:r>
              <w:rPr>
                <w:spacing w:val="-5"/>
                <w:sz w:val="21"/>
              </w:rPr>
              <w:t xml:space="preserve">诺泰尔化学有限公司、贵州芭田生态工程有限公司、贵州天福化工有限责任公司等 </w:t>
            </w:r>
            <w:r>
              <w:rPr>
                <w:rFonts w:ascii="Times New Roman" w:eastAsia="Times New Roman"/>
                <w:sz w:val="21"/>
              </w:rPr>
              <w:t xml:space="preserve">3 </w:t>
            </w:r>
            <w:r>
              <w:rPr>
                <w:spacing w:val="-3"/>
                <w:sz w:val="21"/>
              </w:rPr>
              <w:t>家企业清洁生产审核任务。</w:t>
            </w:r>
          </w:p>
        </w:tc>
        <w:tc>
          <w:tcPr>
            <w:tcW w:w="5044" w:type="dxa"/>
          </w:tcPr>
          <w:p>
            <w:pPr>
              <w:pStyle w:val="12"/>
              <w:spacing w:before="3"/>
              <w:rPr>
                <w:b/>
                <w:sz w:val="17"/>
              </w:rPr>
            </w:pPr>
          </w:p>
          <w:p>
            <w:pPr>
              <w:pStyle w:val="12"/>
              <w:spacing w:before="1"/>
              <w:ind w:left="105"/>
              <w:rPr>
                <w:sz w:val="21"/>
              </w:rPr>
            </w:pPr>
            <w:r>
              <w:rPr>
                <w:sz w:val="21"/>
              </w:rPr>
              <w:t>《黔南州打赢蓝天保卫战三年行动计划》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1138" w:type="dxa"/>
            <w:vMerge w:val="continue"/>
            <w:tcBorders>
              <w:top w:val="nil"/>
            </w:tcBorders>
          </w:tcPr>
          <w:p>
            <w:pPr>
              <w:rPr>
                <w:sz w:val="2"/>
                <w:szCs w:val="2"/>
              </w:rPr>
            </w:pPr>
          </w:p>
        </w:tc>
        <w:tc>
          <w:tcPr>
            <w:tcW w:w="1714" w:type="dxa"/>
            <w:vMerge w:val="restart"/>
          </w:tcPr>
          <w:p>
            <w:pPr>
              <w:pStyle w:val="12"/>
              <w:spacing w:before="10"/>
              <w:rPr>
                <w:b/>
                <w:sz w:val="28"/>
              </w:rPr>
            </w:pPr>
          </w:p>
          <w:p>
            <w:pPr>
              <w:pStyle w:val="12"/>
              <w:spacing w:line="213" w:lineRule="auto"/>
              <w:ind w:left="107" w:right="98"/>
              <w:rPr>
                <w:sz w:val="21"/>
              </w:rPr>
            </w:pPr>
            <w:r>
              <w:rPr>
                <w:sz w:val="21"/>
              </w:rPr>
              <w:t>区域水污染物削减</w:t>
            </w:r>
            <w:r>
              <w:rPr>
                <w:rFonts w:ascii="Calibri" w:eastAsia="Calibri"/>
                <w:sz w:val="21"/>
              </w:rPr>
              <w:t>/</w:t>
            </w:r>
            <w:r>
              <w:rPr>
                <w:sz w:val="21"/>
              </w:rPr>
              <w:t>替代要求</w:t>
            </w:r>
          </w:p>
        </w:tc>
        <w:tc>
          <w:tcPr>
            <w:tcW w:w="716" w:type="dxa"/>
          </w:tcPr>
          <w:p>
            <w:pPr>
              <w:pStyle w:val="12"/>
              <w:rPr>
                <w:b/>
                <w:sz w:val="18"/>
              </w:rPr>
            </w:pPr>
          </w:p>
          <w:p>
            <w:pPr>
              <w:pStyle w:val="12"/>
              <w:spacing w:before="1"/>
              <w:ind w:left="126" w:right="114"/>
              <w:jc w:val="center"/>
              <w:rPr>
                <w:rFonts w:ascii="Calibri"/>
                <w:sz w:val="21"/>
              </w:rPr>
            </w:pPr>
            <w:r>
              <w:rPr>
                <w:rFonts w:ascii="Calibri"/>
                <w:sz w:val="21"/>
              </w:rPr>
              <w:t>32</w:t>
            </w:r>
          </w:p>
        </w:tc>
        <w:tc>
          <w:tcPr>
            <w:tcW w:w="12334" w:type="dxa"/>
          </w:tcPr>
          <w:p>
            <w:pPr>
              <w:pStyle w:val="12"/>
              <w:spacing w:before="4" w:line="213" w:lineRule="auto"/>
              <w:ind w:left="106" w:right="95"/>
              <w:rPr>
                <w:sz w:val="21"/>
              </w:rPr>
            </w:pPr>
            <w:r>
              <w:rPr>
                <w:spacing w:val="-8"/>
                <w:sz w:val="21"/>
              </w:rPr>
              <w:t>在保护区内的国家级、省级风景名胜区需要开展水上旅游活动的，必须经过批准并保证饮用水源水质达到规定的标准。在地表水饮用</w:t>
            </w:r>
            <w:r>
              <w:rPr>
                <w:spacing w:val="-10"/>
                <w:sz w:val="21"/>
              </w:rPr>
              <w:t>水源准保护区内，直接或间接向水体排放废水，不得超过国家、地方规定的污染物排放标准。污染物排放总量不能保证水源保护区规</w:t>
            </w:r>
          </w:p>
          <w:p>
            <w:pPr>
              <w:pStyle w:val="12"/>
              <w:spacing w:line="216" w:lineRule="exact"/>
              <w:ind w:left="106"/>
              <w:rPr>
                <w:sz w:val="21"/>
              </w:rPr>
            </w:pPr>
            <w:r>
              <w:rPr>
                <w:sz w:val="21"/>
              </w:rPr>
              <w:t>定的水质标准时，必须减少污染物排放量，确保水源保护区水质达标。</w:t>
            </w:r>
          </w:p>
        </w:tc>
        <w:tc>
          <w:tcPr>
            <w:tcW w:w="5044" w:type="dxa"/>
          </w:tcPr>
          <w:p>
            <w:pPr>
              <w:pStyle w:val="12"/>
              <w:spacing w:before="3"/>
              <w:rPr>
                <w:b/>
                <w:sz w:val="17"/>
              </w:rPr>
            </w:pPr>
          </w:p>
          <w:p>
            <w:pPr>
              <w:pStyle w:val="12"/>
              <w:ind w:left="105"/>
              <w:rPr>
                <w:sz w:val="21"/>
              </w:rPr>
            </w:pPr>
            <w:r>
              <w:rPr>
                <w:sz w:val="21"/>
              </w:rPr>
              <w:t>《黔南布依族苗族自治州城市水污染防治条例》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12"/>
              <w:ind w:left="126" w:right="114"/>
              <w:jc w:val="center"/>
              <w:rPr>
                <w:rFonts w:ascii="Calibri"/>
                <w:sz w:val="21"/>
              </w:rPr>
            </w:pPr>
            <w:r>
              <w:rPr>
                <w:rFonts w:ascii="Calibri"/>
                <w:sz w:val="21"/>
              </w:rPr>
              <w:t>33</w:t>
            </w:r>
          </w:p>
        </w:tc>
        <w:tc>
          <w:tcPr>
            <w:tcW w:w="12334" w:type="dxa"/>
          </w:tcPr>
          <w:p>
            <w:pPr>
              <w:pStyle w:val="12"/>
              <w:spacing w:line="240" w:lineRule="exact"/>
              <w:ind w:left="106" w:right="-15"/>
              <w:rPr>
                <w:sz w:val="21"/>
              </w:rPr>
            </w:pPr>
            <w:r>
              <w:rPr>
                <w:spacing w:val="-1"/>
                <w:sz w:val="21"/>
              </w:rPr>
              <w:t>剑江河流域主要水污染物实行排放总量控制制度。 自治州人民政府环境保护行政主管部门应当根据省人民政府规定的减排指标，会</w:t>
            </w:r>
            <w:r>
              <w:rPr>
                <w:spacing w:val="-14"/>
                <w:sz w:val="21"/>
              </w:rPr>
              <w:t>同发展改革、水务、农业等行政主管部门，制定流域的重点水污染物排放指标、分解方案和削减计划，报自治州人民政府批准后实施。</w:t>
            </w:r>
          </w:p>
        </w:tc>
        <w:tc>
          <w:tcPr>
            <w:tcW w:w="5044" w:type="dxa"/>
          </w:tcPr>
          <w:p>
            <w:pPr>
              <w:pStyle w:val="12"/>
              <w:spacing w:before="102"/>
              <w:ind w:left="105"/>
              <w:rPr>
                <w:sz w:val="21"/>
              </w:rPr>
            </w:pPr>
            <w:r>
              <w:rPr>
                <w:sz w:val="21"/>
              </w:rPr>
              <w:t>《黔南布依族苗族自治州剑江河流域保护条例》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1138" w:type="dxa"/>
            <w:vMerge w:val="continue"/>
            <w:tcBorders>
              <w:top w:val="nil"/>
            </w:tcBorders>
          </w:tcPr>
          <w:p>
            <w:pPr>
              <w:rPr>
                <w:sz w:val="2"/>
                <w:szCs w:val="2"/>
              </w:rPr>
            </w:pPr>
          </w:p>
        </w:tc>
        <w:tc>
          <w:tcPr>
            <w:tcW w:w="1714"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27"/>
              </w:rPr>
            </w:pPr>
          </w:p>
          <w:p>
            <w:pPr>
              <w:pStyle w:val="12"/>
              <w:spacing w:line="213" w:lineRule="auto"/>
              <w:ind w:left="107" w:right="98"/>
              <w:rPr>
                <w:sz w:val="21"/>
              </w:rPr>
            </w:pPr>
            <w:r>
              <w:rPr>
                <w:sz w:val="21"/>
              </w:rPr>
              <w:t>污染控制措施要求</w:t>
            </w:r>
          </w:p>
        </w:tc>
        <w:tc>
          <w:tcPr>
            <w:tcW w:w="716" w:type="dxa"/>
          </w:tcPr>
          <w:p>
            <w:pPr>
              <w:pStyle w:val="12"/>
              <w:spacing w:before="155"/>
              <w:ind w:left="126" w:right="114"/>
              <w:jc w:val="center"/>
              <w:rPr>
                <w:rFonts w:ascii="Calibri"/>
                <w:sz w:val="21"/>
              </w:rPr>
            </w:pPr>
            <w:r>
              <w:rPr>
                <w:rFonts w:ascii="Calibri"/>
                <w:sz w:val="21"/>
              </w:rPr>
              <w:t>34</w:t>
            </w:r>
          </w:p>
        </w:tc>
        <w:tc>
          <w:tcPr>
            <w:tcW w:w="12334" w:type="dxa"/>
          </w:tcPr>
          <w:p>
            <w:pPr>
              <w:pStyle w:val="12"/>
              <w:spacing w:before="48" w:line="213" w:lineRule="auto"/>
              <w:ind w:left="106" w:right="96"/>
              <w:rPr>
                <w:sz w:val="21"/>
              </w:rPr>
            </w:pPr>
            <w:r>
              <w:rPr>
                <w:spacing w:val="-6"/>
                <w:sz w:val="21"/>
              </w:rPr>
              <w:t>自治州人民政府水行政主管部门应当建立剑江河流域用水总量、用水效率、水功能区限制纳污控制指标体系，加强水资源实时监控管</w:t>
            </w:r>
            <w:r>
              <w:rPr>
                <w:spacing w:val="-4"/>
                <w:sz w:val="21"/>
              </w:rPr>
              <w:t>理系统建设，实行最严格水资源管理制度。</w:t>
            </w:r>
          </w:p>
        </w:tc>
        <w:tc>
          <w:tcPr>
            <w:tcW w:w="5044" w:type="dxa"/>
          </w:tcPr>
          <w:p>
            <w:pPr>
              <w:pStyle w:val="12"/>
              <w:spacing w:before="145"/>
              <w:ind w:left="105"/>
              <w:rPr>
                <w:sz w:val="21"/>
              </w:rPr>
            </w:pPr>
            <w:r>
              <w:rPr>
                <w:sz w:val="21"/>
              </w:rPr>
              <w:t>《黔南布依族苗族自治州剑江河流域保护条例》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restart"/>
          </w:tcPr>
          <w:p>
            <w:pPr>
              <w:pStyle w:val="12"/>
              <w:rPr>
                <w:b/>
                <w:sz w:val="20"/>
              </w:rPr>
            </w:pPr>
          </w:p>
          <w:p>
            <w:pPr>
              <w:pStyle w:val="12"/>
              <w:rPr>
                <w:b/>
                <w:sz w:val="20"/>
              </w:rPr>
            </w:pPr>
          </w:p>
          <w:p>
            <w:pPr>
              <w:pStyle w:val="12"/>
              <w:spacing w:before="3"/>
              <w:rPr>
                <w:b/>
                <w:sz w:val="25"/>
              </w:rPr>
            </w:pPr>
          </w:p>
          <w:p>
            <w:pPr>
              <w:pStyle w:val="12"/>
              <w:spacing w:before="1"/>
              <w:ind w:left="126" w:right="114"/>
              <w:jc w:val="center"/>
              <w:rPr>
                <w:rFonts w:ascii="Calibri"/>
                <w:sz w:val="21"/>
              </w:rPr>
            </w:pPr>
            <w:r>
              <w:rPr>
                <w:rFonts w:ascii="Calibri"/>
                <w:sz w:val="21"/>
              </w:rPr>
              <w:t>35</w:t>
            </w:r>
          </w:p>
        </w:tc>
        <w:tc>
          <w:tcPr>
            <w:tcW w:w="12334" w:type="dxa"/>
          </w:tcPr>
          <w:p>
            <w:pPr>
              <w:pStyle w:val="12"/>
              <w:spacing w:line="236" w:lineRule="exact"/>
              <w:ind w:left="106"/>
              <w:rPr>
                <w:sz w:val="21"/>
              </w:rPr>
            </w:pPr>
            <w:r>
              <w:rPr>
                <w:sz w:val="21"/>
              </w:rPr>
              <w:t>樟江流域内各级人民政府应当采取措施，引导和鼓励发展生态农业，加大科技投入，防止农业面源污染。</w:t>
            </w:r>
          </w:p>
          <w:p>
            <w:pPr>
              <w:pStyle w:val="12"/>
              <w:spacing w:before="8" w:line="213" w:lineRule="auto"/>
              <w:ind w:left="106" w:right="95"/>
              <w:rPr>
                <w:sz w:val="21"/>
              </w:rPr>
            </w:pPr>
            <w:r>
              <w:rPr>
                <w:spacing w:val="-5"/>
                <w:sz w:val="21"/>
              </w:rPr>
              <w:t>樟江流域内县级人民政府应当依法划定和公布本行政区域内畜禽规模化养殖禁养区和禁建区，已建的畜禽规模化养殖场所应当搬迁或</w:t>
            </w:r>
            <w:r>
              <w:rPr>
                <w:spacing w:val="-4"/>
                <w:sz w:val="21"/>
              </w:rPr>
              <w:t>者完善污染处理设施，满足达标排放标准。</w:t>
            </w:r>
          </w:p>
          <w:p>
            <w:pPr>
              <w:pStyle w:val="12"/>
              <w:spacing w:line="216" w:lineRule="exact"/>
              <w:ind w:left="106"/>
              <w:rPr>
                <w:sz w:val="21"/>
              </w:rPr>
            </w:pPr>
            <w:r>
              <w:rPr>
                <w:sz w:val="21"/>
              </w:rPr>
              <w:t>樟江流域内县级人民政府农业主管部门应当推广标准化水产养殖技术，预防、控制和减少水产养殖造成的水体污染。</w:t>
            </w:r>
          </w:p>
        </w:tc>
        <w:tc>
          <w:tcPr>
            <w:tcW w:w="5044" w:type="dxa"/>
            <w:vMerge w:val="restart"/>
          </w:tcPr>
          <w:p>
            <w:pPr>
              <w:pStyle w:val="12"/>
              <w:rPr>
                <w:b/>
                <w:sz w:val="20"/>
              </w:rPr>
            </w:pPr>
          </w:p>
          <w:p>
            <w:pPr>
              <w:pStyle w:val="12"/>
              <w:rPr>
                <w:b/>
                <w:sz w:val="20"/>
              </w:rPr>
            </w:pPr>
          </w:p>
          <w:p>
            <w:pPr>
              <w:pStyle w:val="12"/>
              <w:spacing w:before="1"/>
              <w:rPr>
                <w:b/>
                <w:sz w:val="15"/>
              </w:rPr>
            </w:pPr>
          </w:p>
          <w:p>
            <w:pPr>
              <w:pStyle w:val="12"/>
              <w:spacing w:before="1"/>
              <w:ind w:left="105"/>
              <w:rPr>
                <w:sz w:val="21"/>
              </w:rPr>
            </w:pPr>
            <w:r>
              <w:rPr>
                <w:sz w:val="21"/>
              </w:rPr>
              <w:t>《黔南布依族苗族自治州樟江流域保护条例》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vMerge w:val="continue"/>
            <w:tcBorders>
              <w:top w:val="nil"/>
            </w:tcBorders>
          </w:tcPr>
          <w:p>
            <w:pPr>
              <w:rPr>
                <w:sz w:val="2"/>
                <w:szCs w:val="2"/>
              </w:rPr>
            </w:pPr>
          </w:p>
        </w:tc>
        <w:tc>
          <w:tcPr>
            <w:tcW w:w="12334" w:type="dxa"/>
          </w:tcPr>
          <w:p>
            <w:pPr>
              <w:pStyle w:val="12"/>
              <w:spacing w:before="5" w:line="213" w:lineRule="auto"/>
              <w:ind w:left="106" w:right="96"/>
              <w:rPr>
                <w:sz w:val="21"/>
              </w:rPr>
            </w:pPr>
            <w:r>
              <w:rPr>
                <w:spacing w:val="-6"/>
                <w:sz w:val="21"/>
              </w:rPr>
              <w:t>自治州人民政府环境保护行政主管部门应当会同水行政等主管部门，在樟江主要干流、支流跨县交界断面设置水环境质量监测点，组</w:t>
            </w:r>
            <w:r>
              <w:rPr>
                <w:spacing w:val="-4"/>
                <w:sz w:val="21"/>
              </w:rPr>
              <w:t>织开展水环境质量监测，并发布水环境质量监测信息。</w:t>
            </w:r>
          </w:p>
          <w:p>
            <w:pPr>
              <w:pStyle w:val="12"/>
              <w:spacing w:line="233" w:lineRule="exact"/>
              <w:ind w:left="106"/>
              <w:rPr>
                <w:sz w:val="21"/>
              </w:rPr>
            </w:pPr>
            <w:r>
              <w:rPr>
                <w:sz w:val="21"/>
              </w:rPr>
              <w:t>樟江流域内县级人民政府应当保证本行政区域内流域和出境断面水环境质量符合规定的水环境质量标准，组织实施水环境质量监测和</w:t>
            </w:r>
          </w:p>
          <w:p>
            <w:pPr>
              <w:pStyle w:val="12"/>
              <w:spacing w:line="223" w:lineRule="exact"/>
              <w:ind w:left="106"/>
              <w:rPr>
                <w:sz w:val="21"/>
              </w:rPr>
            </w:pPr>
            <w:r>
              <w:rPr>
                <w:sz w:val="21"/>
              </w:rPr>
              <w:t>报告制度。</w:t>
            </w:r>
          </w:p>
        </w:tc>
        <w:tc>
          <w:tcPr>
            <w:tcW w:w="50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rPr>
                <w:b/>
                <w:sz w:val="20"/>
              </w:rPr>
            </w:pPr>
          </w:p>
          <w:p>
            <w:pPr>
              <w:pStyle w:val="12"/>
              <w:spacing w:before="4"/>
              <w:rPr>
                <w:b/>
                <w:sz w:val="15"/>
              </w:rPr>
            </w:pPr>
          </w:p>
          <w:p>
            <w:pPr>
              <w:pStyle w:val="12"/>
              <w:spacing w:before="1"/>
              <w:ind w:left="126" w:right="114"/>
              <w:jc w:val="center"/>
              <w:rPr>
                <w:rFonts w:ascii="Calibri"/>
                <w:sz w:val="21"/>
              </w:rPr>
            </w:pPr>
            <w:r>
              <w:rPr>
                <w:rFonts w:ascii="Calibri"/>
                <w:sz w:val="21"/>
              </w:rPr>
              <w:t>36</w:t>
            </w:r>
          </w:p>
        </w:tc>
        <w:tc>
          <w:tcPr>
            <w:tcW w:w="12334" w:type="dxa"/>
          </w:tcPr>
          <w:p>
            <w:pPr>
              <w:pStyle w:val="12"/>
              <w:spacing w:before="105" w:line="213" w:lineRule="auto"/>
              <w:ind w:left="106" w:right="96"/>
              <w:jc w:val="both"/>
              <w:rPr>
                <w:sz w:val="21"/>
              </w:rPr>
            </w:pPr>
            <w:r>
              <w:rPr>
                <w:spacing w:val="-7"/>
                <w:sz w:val="21"/>
              </w:rPr>
              <w:t>加强重点流域内上市企业水污染防治环保核查，继续加大福泉市磷化工行业污染治理力度和，制浆造纸、印染、食品加工等重污染行</w:t>
            </w:r>
            <w:r>
              <w:rPr>
                <w:spacing w:val="-10"/>
                <w:sz w:val="21"/>
              </w:rPr>
              <w:t>业企业的治理力度。进一步削减进入重安江流域的磷、氟污染物总量，努力实现造纸行业达新标，鼓励企业在稳定达标排放的基础上</w:t>
            </w:r>
            <w:r>
              <w:rPr>
                <w:spacing w:val="-9"/>
                <w:sz w:val="21"/>
              </w:rPr>
              <w:t>集中建设污水深度处理设施。大力实施列入规划的都柳江流域锑污染综合治理工程：主要对独山县、三都县废弃锑矿山进行生态恢复</w:t>
            </w:r>
            <w:r>
              <w:rPr>
                <w:spacing w:val="-6"/>
                <w:sz w:val="21"/>
              </w:rPr>
              <w:t xml:space="preserve">综合治理，收集废弃矿山高浓度含锑废水进行集中处理、对废弃矿山固体废物进行集中处置等，力争在 </w:t>
            </w:r>
            <w:r>
              <w:rPr>
                <w:rFonts w:ascii="Calibri" w:eastAsia="Calibri"/>
                <w:sz w:val="21"/>
              </w:rPr>
              <w:t xml:space="preserve">2020 </w:t>
            </w:r>
            <w:r>
              <w:rPr>
                <w:spacing w:val="-3"/>
                <w:sz w:val="21"/>
              </w:rPr>
              <w:t>年底前全面完成。</w:t>
            </w:r>
          </w:p>
        </w:tc>
        <w:tc>
          <w:tcPr>
            <w:tcW w:w="5044" w:type="dxa"/>
          </w:tcPr>
          <w:p>
            <w:pPr>
              <w:pStyle w:val="12"/>
              <w:rPr>
                <w:b/>
                <w:sz w:val="20"/>
              </w:rPr>
            </w:pPr>
          </w:p>
          <w:p>
            <w:pPr>
              <w:pStyle w:val="12"/>
              <w:spacing w:before="7"/>
              <w:rPr>
                <w:b/>
                <w:sz w:val="14"/>
              </w:rPr>
            </w:pPr>
          </w:p>
          <w:p>
            <w:pPr>
              <w:pStyle w:val="12"/>
              <w:ind w:left="105"/>
              <w:rPr>
                <w:sz w:val="21"/>
              </w:rPr>
            </w:pPr>
            <w:r>
              <w:rPr>
                <w:sz w:val="21"/>
              </w:rPr>
              <w:t>《黔南州水污染防治规划》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62"/>
              <w:ind w:left="125" w:right="118"/>
              <w:jc w:val="center"/>
              <w:rPr>
                <w:rFonts w:ascii="Calibri"/>
                <w:sz w:val="21"/>
              </w:rPr>
            </w:pPr>
            <w:r>
              <w:rPr>
                <w:rFonts w:ascii="Calibri"/>
                <w:sz w:val="21"/>
              </w:rPr>
              <w:t>37</w:t>
            </w:r>
          </w:p>
        </w:tc>
        <w:tc>
          <w:tcPr>
            <w:tcW w:w="12334" w:type="dxa"/>
          </w:tcPr>
          <w:p>
            <w:pPr>
              <w:pStyle w:val="12"/>
              <w:spacing w:before="55" w:line="213" w:lineRule="auto"/>
              <w:ind w:left="106" w:right="95"/>
              <w:rPr>
                <w:sz w:val="21"/>
              </w:rPr>
            </w:pPr>
            <w:r>
              <w:rPr>
                <w:spacing w:val="-7"/>
                <w:sz w:val="21"/>
              </w:rPr>
              <w:t>积极开展湿地资源补充调查，建立全州湿地资源信息库。完善湿地生态系统保护体系建设，建立湿地调查监测评估体系和湿地监测综</w:t>
            </w:r>
            <w:r>
              <w:rPr>
                <w:spacing w:val="-5"/>
                <w:sz w:val="21"/>
              </w:rPr>
              <w:t>合信息管理平台，提升湿地保护能力。</w:t>
            </w:r>
          </w:p>
        </w:tc>
        <w:tc>
          <w:tcPr>
            <w:tcW w:w="5044" w:type="dxa"/>
          </w:tcPr>
          <w:p>
            <w:pPr>
              <w:pStyle w:val="12"/>
              <w:spacing w:before="55" w:line="213" w:lineRule="auto"/>
              <w:ind w:left="105" w:right="103"/>
              <w:rPr>
                <w:sz w:val="21"/>
              </w:rPr>
            </w:pPr>
            <w:r>
              <w:rPr>
                <w:sz w:val="21"/>
              </w:rPr>
              <w:t>《黔南州国民经济和社会发展第十三个五年规划纲要》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14"/>
              <w:ind w:left="126" w:right="114"/>
              <w:jc w:val="center"/>
              <w:rPr>
                <w:rFonts w:ascii="Calibri"/>
                <w:sz w:val="21"/>
              </w:rPr>
            </w:pPr>
            <w:r>
              <w:rPr>
                <w:rFonts w:ascii="Calibri"/>
                <w:sz w:val="21"/>
              </w:rPr>
              <w:t>38</w:t>
            </w:r>
          </w:p>
        </w:tc>
        <w:tc>
          <w:tcPr>
            <w:tcW w:w="12334" w:type="dxa"/>
          </w:tcPr>
          <w:p>
            <w:pPr>
              <w:pStyle w:val="12"/>
              <w:spacing w:before="2" w:line="240" w:lineRule="exact"/>
              <w:ind w:left="106" w:right="96"/>
              <w:rPr>
                <w:sz w:val="21"/>
              </w:rPr>
            </w:pPr>
            <w:r>
              <w:rPr>
                <w:spacing w:val="-8"/>
                <w:sz w:val="21"/>
              </w:rPr>
              <w:t>大力兴建城市垃圾和废水处理设施，做到垃圾二次利用及无害化处理，废水必须达标排放。建立水资源环境监测及预测系统，加强水</w:t>
            </w:r>
            <w:r>
              <w:rPr>
                <w:spacing w:val="-5"/>
                <w:sz w:val="21"/>
              </w:rPr>
              <w:t>资源监测、监控，促进水资源可持续利用。</w:t>
            </w:r>
          </w:p>
        </w:tc>
        <w:tc>
          <w:tcPr>
            <w:tcW w:w="5044" w:type="dxa"/>
          </w:tcPr>
          <w:p>
            <w:pPr>
              <w:pStyle w:val="12"/>
              <w:spacing w:before="104"/>
              <w:ind w:left="105"/>
              <w:rPr>
                <w:sz w:val="21"/>
              </w:rPr>
            </w:pPr>
            <w:r>
              <w:rPr>
                <w:sz w:val="21"/>
              </w:rPr>
              <w:t>《黔南州“十三五”生态建设规划》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0" w:hRule="atLeast"/>
        </w:trPr>
        <w:tc>
          <w:tcPr>
            <w:tcW w:w="1138" w:type="dxa"/>
            <w:vMerge w:val="restart"/>
          </w:tcPr>
          <w:p>
            <w:pPr>
              <w:pStyle w:val="12"/>
              <w:rPr>
                <w:b/>
                <w:sz w:val="20"/>
              </w:rPr>
            </w:pPr>
          </w:p>
          <w:p>
            <w:pPr>
              <w:pStyle w:val="12"/>
              <w:rPr>
                <w:b/>
                <w:sz w:val="20"/>
              </w:rPr>
            </w:pPr>
          </w:p>
          <w:p>
            <w:pPr>
              <w:pStyle w:val="12"/>
              <w:spacing w:before="4"/>
              <w:rPr>
                <w:b/>
                <w:sz w:val="26"/>
              </w:rPr>
            </w:pPr>
          </w:p>
          <w:p>
            <w:pPr>
              <w:pStyle w:val="12"/>
              <w:spacing w:line="213" w:lineRule="auto"/>
              <w:ind w:left="107" w:right="175"/>
              <w:rPr>
                <w:sz w:val="21"/>
              </w:rPr>
            </w:pPr>
            <w:r>
              <w:rPr>
                <w:sz w:val="21"/>
              </w:rPr>
              <w:t>污染物排放管控</w:t>
            </w:r>
          </w:p>
        </w:tc>
        <w:tc>
          <w:tcPr>
            <w:tcW w:w="1714" w:type="dxa"/>
            <w:vMerge w:val="restart"/>
          </w:tcPr>
          <w:p>
            <w:pPr>
              <w:pStyle w:val="12"/>
              <w:rPr>
                <w:b/>
                <w:sz w:val="20"/>
              </w:rPr>
            </w:pPr>
          </w:p>
          <w:p>
            <w:pPr>
              <w:pStyle w:val="12"/>
              <w:rPr>
                <w:b/>
                <w:sz w:val="20"/>
              </w:rPr>
            </w:pPr>
          </w:p>
          <w:p>
            <w:pPr>
              <w:pStyle w:val="12"/>
              <w:spacing w:before="4"/>
              <w:rPr>
                <w:b/>
                <w:sz w:val="26"/>
              </w:rPr>
            </w:pPr>
          </w:p>
          <w:p>
            <w:pPr>
              <w:pStyle w:val="12"/>
              <w:spacing w:line="213" w:lineRule="auto"/>
              <w:ind w:left="748" w:right="108" w:hanging="629"/>
              <w:rPr>
                <w:sz w:val="21"/>
              </w:rPr>
            </w:pPr>
            <w:r>
              <w:rPr>
                <w:sz w:val="21"/>
              </w:rPr>
              <w:t>污染控制措施要求</w:t>
            </w:r>
          </w:p>
        </w:tc>
        <w:tc>
          <w:tcPr>
            <w:tcW w:w="716" w:type="dxa"/>
          </w:tcPr>
          <w:p>
            <w:pPr>
              <w:pStyle w:val="12"/>
              <w:rPr>
                <w:b/>
                <w:sz w:val="20"/>
              </w:rPr>
            </w:pPr>
          </w:p>
          <w:p>
            <w:pPr>
              <w:pStyle w:val="12"/>
              <w:rPr>
                <w:b/>
                <w:sz w:val="20"/>
              </w:rPr>
            </w:pPr>
          </w:p>
          <w:p>
            <w:pPr>
              <w:pStyle w:val="12"/>
              <w:spacing w:before="7"/>
              <w:rPr>
                <w:b/>
                <w:sz w:val="15"/>
              </w:rPr>
            </w:pPr>
          </w:p>
          <w:p>
            <w:pPr>
              <w:pStyle w:val="12"/>
              <w:ind w:left="126" w:right="114"/>
              <w:jc w:val="center"/>
              <w:rPr>
                <w:rFonts w:ascii="Calibri"/>
                <w:sz w:val="21"/>
              </w:rPr>
            </w:pPr>
            <w:r>
              <w:rPr>
                <w:rFonts w:ascii="Calibri"/>
                <w:sz w:val="21"/>
              </w:rPr>
              <w:t>39</w:t>
            </w:r>
          </w:p>
        </w:tc>
        <w:tc>
          <w:tcPr>
            <w:tcW w:w="12334" w:type="dxa"/>
          </w:tcPr>
          <w:p>
            <w:pPr>
              <w:pStyle w:val="12"/>
              <w:numPr>
                <w:ilvl w:val="0"/>
                <w:numId w:val="43"/>
              </w:numPr>
              <w:tabs>
                <w:tab w:val="left" w:pos="269"/>
              </w:tabs>
              <w:spacing w:line="236" w:lineRule="exact"/>
              <w:rPr>
                <w:sz w:val="21"/>
              </w:rPr>
            </w:pPr>
            <w:r>
              <w:rPr>
                <w:spacing w:val="-3"/>
                <w:sz w:val="21"/>
              </w:rPr>
              <w:t>依法淘汰落后产能，淘汰环境敏感区域小型磷化工企业。</w:t>
            </w:r>
          </w:p>
          <w:p>
            <w:pPr>
              <w:pStyle w:val="12"/>
              <w:numPr>
                <w:ilvl w:val="0"/>
                <w:numId w:val="43"/>
              </w:numPr>
              <w:tabs>
                <w:tab w:val="left" w:pos="269"/>
              </w:tabs>
              <w:spacing w:line="240" w:lineRule="exact"/>
              <w:rPr>
                <w:sz w:val="21"/>
              </w:rPr>
            </w:pPr>
            <w:r>
              <w:rPr>
                <w:spacing w:val="-5"/>
                <w:sz w:val="21"/>
              </w:rPr>
              <w:t xml:space="preserve">严格环境准入，明确清水江流域新建磷化工项目磷石膏综合利用率必须达到 </w:t>
            </w:r>
            <w:r>
              <w:rPr>
                <w:rFonts w:ascii="Calibri" w:eastAsia="Calibri"/>
                <w:sz w:val="21"/>
              </w:rPr>
              <w:t>100%</w:t>
            </w:r>
            <w:r>
              <w:rPr>
                <w:sz w:val="21"/>
              </w:rPr>
              <w:t>。</w:t>
            </w:r>
          </w:p>
          <w:p>
            <w:pPr>
              <w:pStyle w:val="12"/>
              <w:numPr>
                <w:ilvl w:val="0"/>
                <w:numId w:val="43"/>
              </w:numPr>
              <w:tabs>
                <w:tab w:val="left" w:pos="269"/>
              </w:tabs>
              <w:spacing w:before="8" w:line="213" w:lineRule="auto"/>
              <w:ind w:left="106" w:right="96" w:firstLine="0"/>
              <w:rPr>
                <w:sz w:val="21"/>
              </w:rPr>
            </w:pPr>
            <w:r>
              <w:rPr>
                <w:spacing w:val="-7"/>
                <w:sz w:val="21"/>
              </w:rPr>
              <w:t>实施重点行业污染整治。按照“一企一污水处理设施，一企一治理方案要求清水江流域内磷矿企业污染防治，彻底治理清水江流域</w:t>
            </w:r>
            <w:r>
              <w:rPr>
                <w:spacing w:val="-15"/>
                <w:sz w:val="21"/>
              </w:rPr>
              <w:t>瓮福集团发财洞污染。”</w:t>
            </w:r>
          </w:p>
          <w:p>
            <w:pPr>
              <w:pStyle w:val="12"/>
              <w:numPr>
                <w:ilvl w:val="0"/>
                <w:numId w:val="43"/>
              </w:numPr>
              <w:tabs>
                <w:tab w:val="left" w:pos="313"/>
              </w:tabs>
              <w:spacing w:line="233" w:lineRule="exact"/>
              <w:ind w:left="312" w:hanging="207"/>
              <w:rPr>
                <w:sz w:val="21"/>
              </w:rPr>
            </w:pPr>
            <w:r>
              <w:rPr>
                <w:rFonts w:ascii="Calibri" w:eastAsia="Calibri"/>
                <w:sz w:val="21"/>
              </w:rPr>
              <w:t>2020</w:t>
            </w:r>
            <w:r>
              <w:rPr>
                <w:rFonts w:ascii="Calibri" w:eastAsia="Calibri"/>
                <w:spacing w:val="4"/>
                <w:sz w:val="21"/>
              </w:rPr>
              <w:t xml:space="preserve"> </w:t>
            </w:r>
            <w:r>
              <w:rPr>
                <w:spacing w:val="-3"/>
                <w:sz w:val="21"/>
              </w:rPr>
              <w:t>年底县城镇污水处理达到相应排放标准或再生利用要求。</w:t>
            </w:r>
          </w:p>
          <w:p>
            <w:pPr>
              <w:pStyle w:val="12"/>
              <w:numPr>
                <w:ilvl w:val="0"/>
                <w:numId w:val="43"/>
              </w:numPr>
              <w:tabs>
                <w:tab w:val="left" w:pos="269"/>
              </w:tabs>
              <w:spacing w:before="4" w:line="240" w:lineRule="exact"/>
              <w:ind w:left="106" w:right="96" w:firstLine="0"/>
              <w:rPr>
                <w:sz w:val="21"/>
              </w:rPr>
            </w:pPr>
            <w:r>
              <w:rPr>
                <w:spacing w:val="-3"/>
                <w:sz w:val="21"/>
              </w:rPr>
              <w:t>加强畜禽养殖业污染控制。</w:t>
            </w:r>
            <w:r>
              <w:rPr>
                <w:rFonts w:ascii="Calibri" w:eastAsia="Calibri"/>
                <w:sz w:val="21"/>
              </w:rPr>
              <w:t>2020</w:t>
            </w:r>
            <w:r>
              <w:rPr>
                <w:rFonts w:ascii="Calibri" w:eastAsia="Calibri"/>
                <w:spacing w:val="23"/>
                <w:sz w:val="21"/>
              </w:rPr>
              <w:t xml:space="preserve"> </w:t>
            </w:r>
            <w:r>
              <w:rPr>
                <w:spacing w:val="-3"/>
                <w:sz w:val="21"/>
              </w:rPr>
              <w:t>年底前，依法关闭或搬迁禁养区内的畜禽养殖场和养殖专业户。</w:t>
            </w:r>
            <w:r>
              <w:rPr>
                <w:rFonts w:ascii="Calibri" w:eastAsia="Calibri"/>
                <w:sz w:val="21"/>
              </w:rPr>
              <w:t>2020</w:t>
            </w:r>
            <w:r>
              <w:rPr>
                <w:rFonts w:ascii="Calibri" w:eastAsia="Calibri"/>
                <w:spacing w:val="27"/>
                <w:sz w:val="21"/>
              </w:rPr>
              <w:t xml:space="preserve"> </w:t>
            </w:r>
            <w:r>
              <w:rPr>
                <w:spacing w:val="-3"/>
                <w:sz w:val="21"/>
              </w:rPr>
              <w:t>年，流域内大部分行政村生活垃圾得到有效处理。</w:t>
            </w:r>
          </w:p>
        </w:tc>
        <w:tc>
          <w:tcPr>
            <w:tcW w:w="5044" w:type="dxa"/>
          </w:tcPr>
          <w:p>
            <w:pPr>
              <w:pStyle w:val="12"/>
              <w:rPr>
                <w:b/>
                <w:sz w:val="20"/>
              </w:rPr>
            </w:pPr>
          </w:p>
          <w:p>
            <w:pPr>
              <w:pStyle w:val="12"/>
              <w:spacing w:before="2"/>
              <w:rPr>
                <w:b/>
                <w:sz w:val="27"/>
              </w:rPr>
            </w:pPr>
          </w:p>
          <w:p>
            <w:pPr>
              <w:pStyle w:val="12"/>
              <w:spacing w:line="213" w:lineRule="auto"/>
              <w:ind w:left="105" w:right="103"/>
              <w:rPr>
                <w:sz w:val="21"/>
              </w:rPr>
            </w:pPr>
            <w:r>
              <w:rPr>
                <w:sz w:val="21"/>
              </w:rPr>
              <w:t>贵州省环境保护厅关于印发清水江流域水体达标方案的通知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spacing w:before="115"/>
              <w:ind w:left="126" w:right="118"/>
              <w:jc w:val="center"/>
              <w:rPr>
                <w:rFonts w:ascii="Times New Roman"/>
                <w:sz w:val="21"/>
              </w:rPr>
            </w:pPr>
            <w:r>
              <w:rPr>
                <w:rFonts w:ascii="Times New Roman"/>
                <w:sz w:val="21"/>
              </w:rPr>
              <w:t>40</w:t>
            </w:r>
          </w:p>
        </w:tc>
        <w:tc>
          <w:tcPr>
            <w:tcW w:w="12334" w:type="dxa"/>
          </w:tcPr>
          <w:p>
            <w:pPr>
              <w:pStyle w:val="12"/>
              <w:spacing w:before="101"/>
              <w:ind w:left="106"/>
              <w:rPr>
                <w:sz w:val="21"/>
              </w:rPr>
            </w:pPr>
            <w:r>
              <w:rPr>
                <w:sz w:val="21"/>
              </w:rPr>
              <w:t>发财洞、龙井湾废水经处理后，水体总磷浓度≤</w:t>
            </w:r>
            <w:r>
              <w:rPr>
                <w:rFonts w:ascii="Times New Roman" w:hAnsi="Times New Roman" w:eastAsia="Times New Roman"/>
                <w:sz w:val="21"/>
              </w:rPr>
              <w:t>0.5mg/1</w:t>
            </w:r>
            <w:r>
              <w:rPr>
                <w:sz w:val="21"/>
              </w:rPr>
              <w:t xml:space="preserve">，从 </w:t>
            </w:r>
            <w:r>
              <w:rPr>
                <w:rFonts w:ascii="Times New Roman" w:hAnsi="Times New Roman" w:eastAsia="Times New Roman"/>
                <w:sz w:val="21"/>
              </w:rPr>
              <w:t xml:space="preserve">2020 </w:t>
            </w:r>
            <w:r>
              <w:rPr>
                <w:sz w:val="21"/>
              </w:rPr>
              <w:t xml:space="preserve">年 </w:t>
            </w:r>
            <w:r>
              <w:rPr>
                <w:rFonts w:ascii="Times New Roman" w:hAnsi="Times New Roman" w:eastAsia="Times New Roman"/>
                <w:sz w:val="21"/>
              </w:rPr>
              <w:t xml:space="preserve">7 </w:t>
            </w:r>
            <w:r>
              <w:rPr>
                <w:sz w:val="21"/>
              </w:rPr>
              <w:t xml:space="preserve">月 </w:t>
            </w:r>
            <w:r>
              <w:rPr>
                <w:rFonts w:ascii="Times New Roman" w:hAnsi="Times New Roman" w:eastAsia="Times New Roman"/>
                <w:sz w:val="21"/>
              </w:rPr>
              <w:t xml:space="preserve">1 </w:t>
            </w:r>
            <w:r>
              <w:rPr>
                <w:sz w:val="21"/>
              </w:rPr>
              <w:t>日执行。</w:t>
            </w:r>
          </w:p>
        </w:tc>
        <w:tc>
          <w:tcPr>
            <w:tcW w:w="5044" w:type="dxa"/>
          </w:tcPr>
          <w:p>
            <w:pPr>
              <w:pStyle w:val="12"/>
              <w:spacing w:line="236" w:lineRule="exact"/>
              <w:ind w:left="105"/>
              <w:rPr>
                <w:sz w:val="21"/>
              </w:rPr>
            </w:pPr>
            <w:r>
              <w:rPr>
                <w:sz w:val="21"/>
              </w:rPr>
              <w:t>贵州省环境保护厅关于清水江发财洞及龙井湾污染</w:t>
            </w:r>
          </w:p>
          <w:p>
            <w:pPr>
              <w:pStyle w:val="12"/>
              <w:spacing w:line="223" w:lineRule="exact"/>
              <w:ind w:left="105"/>
              <w:rPr>
                <w:sz w:val="21"/>
              </w:rPr>
            </w:pPr>
            <w:r>
              <w:rPr>
                <w:sz w:val="21"/>
              </w:rPr>
              <w:t>治理设施外排废水执行总磷特别排放限值的通知</w:t>
            </w:r>
          </w:p>
        </w:tc>
      </w:tr>
    </w:tbl>
    <w:p>
      <w:pPr>
        <w:spacing w:line="223" w:lineRule="exact"/>
        <w:rPr>
          <w:sz w:val="21"/>
        </w:rPr>
        <w:sectPr>
          <w:pgSz w:w="23760" w:h="16790" w:orient="landscape"/>
          <w:pgMar w:top="1080" w:right="660" w:bottom="1080" w:left="860" w:header="0" w:footer="894" w:gutter="0"/>
          <w:cols w:space="720" w:num="1"/>
        </w:sectPr>
      </w:pPr>
    </w:p>
    <w:tbl>
      <w:tblPr>
        <w:tblStyle w:val="3"/>
        <w:tblW w:w="20946"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1714"/>
        <w:gridCol w:w="716"/>
        <w:gridCol w:w="12334"/>
        <w:gridCol w:w="5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138" w:type="dxa"/>
          </w:tcPr>
          <w:p>
            <w:pPr>
              <w:pStyle w:val="12"/>
              <w:spacing w:line="222" w:lineRule="exact"/>
              <w:ind w:left="357"/>
              <w:rPr>
                <w:b/>
                <w:sz w:val="21"/>
              </w:rPr>
            </w:pPr>
            <w:r>
              <w:rPr>
                <w:b/>
                <w:sz w:val="21"/>
              </w:rPr>
              <w:t>维度</w:t>
            </w:r>
          </w:p>
        </w:tc>
        <w:tc>
          <w:tcPr>
            <w:tcW w:w="1714" w:type="dxa"/>
          </w:tcPr>
          <w:p>
            <w:pPr>
              <w:pStyle w:val="12"/>
              <w:spacing w:line="222" w:lineRule="exact"/>
              <w:ind w:left="223"/>
              <w:rPr>
                <w:b/>
                <w:sz w:val="21"/>
              </w:rPr>
            </w:pPr>
            <w:r>
              <w:rPr>
                <w:b/>
                <w:sz w:val="21"/>
              </w:rPr>
              <w:t>清单编制要求</w:t>
            </w:r>
          </w:p>
        </w:tc>
        <w:tc>
          <w:tcPr>
            <w:tcW w:w="716" w:type="dxa"/>
          </w:tcPr>
          <w:p>
            <w:pPr>
              <w:pStyle w:val="12"/>
              <w:spacing w:line="222" w:lineRule="exact"/>
              <w:ind w:left="126" w:right="118"/>
              <w:jc w:val="center"/>
              <w:rPr>
                <w:b/>
                <w:sz w:val="21"/>
              </w:rPr>
            </w:pPr>
            <w:r>
              <w:rPr>
                <w:b/>
                <w:sz w:val="21"/>
              </w:rPr>
              <w:t>序号</w:t>
            </w:r>
          </w:p>
        </w:tc>
        <w:tc>
          <w:tcPr>
            <w:tcW w:w="12334" w:type="dxa"/>
          </w:tcPr>
          <w:p>
            <w:pPr>
              <w:pStyle w:val="12"/>
              <w:spacing w:line="222" w:lineRule="exact"/>
              <w:ind w:left="5722" w:right="5717"/>
              <w:jc w:val="center"/>
              <w:rPr>
                <w:b/>
                <w:sz w:val="21"/>
              </w:rPr>
            </w:pPr>
            <w:r>
              <w:rPr>
                <w:b/>
                <w:sz w:val="21"/>
              </w:rPr>
              <w:t>准入要求</w:t>
            </w:r>
          </w:p>
        </w:tc>
        <w:tc>
          <w:tcPr>
            <w:tcW w:w="5044" w:type="dxa"/>
          </w:tcPr>
          <w:p>
            <w:pPr>
              <w:pStyle w:val="12"/>
              <w:spacing w:line="222" w:lineRule="exact"/>
              <w:ind w:left="2077" w:right="2072"/>
              <w:jc w:val="center"/>
              <w:rPr>
                <w:b/>
                <w:sz w:val="21"/>
              </w:rPr>
            </w:pPr>
            <w:r>
              <w:rPr>
                <w:b/>
                <w:sz w:val="21"/>
              </w:rPr>
              <w:t>编制依据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38" w:type="dxa"/>
          </w:tcPr>
          <w:p>
            <w:pPr>
              <w:pStyle w:val="12"/>
              <w:rPr>
                <w:rFonts w:ascii="Times New Roman"/>
                <w:sz w:val="20"/>
              </w:rPr>
            </w:pPr>
          </w:p>
        </w:tc>
        <w:tc>
          <w:tcPr>
            <w:tcW w:w="1714" w:type="dxa"/>
          </w:tcPr>
          <w:p>
            <w:pPr>
              <w:pStyle w:val="12"/>
              <w:rPr>
                <w:rFonts w:ascii="Times New Roman"/>
                <w:sz w:val="20"/>
              </w:rPr>
            </w:pPr>
          </w:p>
        </w:tc>
        <w:tc>
          <w:tcPr>
            <w:tcW w:w="716" w:type="dxa"/>
          </w:tcPr>
          <w:p>
            <w:pPr>
              <w:pStyle w:val="12"/>
              <w:spacing w:before="5"/>
              <w:rPr>
                <w:b/>
                <w:sz w:val="18"/>
              </w:rPr>
            </w:pPr>
          </w:p>
          <w:p>
            <w:pPr>
              <w:pStyle w:val="12"/>
              <w:ind w:left="126" w:right="118"/>
              <w:jc w:val="center"/>
              <w:rPr>
                <w:rFonts w:ascii="Times New Roman"/>
                <w:sz w:val="21"/>
              </w:rPr>
            </w:pPr>
            <w:r>
              <w:rPr>
                <w:rFonts w:ascii="Times New Roman"/>
                <w:sz w:val="21"/>
              </w:rPr>
              <w:t>41</w:t>
            </w:r>
          </w:p>
        </w:tc>
        <w:tc>
          <w:tcPr>
            <w:tcW w:w="12334" w:type="dxa"/>
          </w:tcPr>
          <w:p>
            <w:pPr>
              <w:pStyle w:val="12"/>
              <w:spacing w:before="4"/>
              <w:rPr>
                <w:b/>
                <w:sz w:val="17"/>
              </w:rPr>
            </w:pPr>
          </w:p>
          <w:p>
            <w:pPr>
              <w:pStyle w:val="12"/>
              <w:ind w:left="106"/>
              <w:rPr>
                <w:sz w:val="21"/>
              </w:rPr>
            </w:pPr>
            <w:r>
              <w:rPr>
                <w:sz w:val="21"/>
              </w:rPr>
              <w:t xml:space="preserve">以黔南州凤山桥边断面为重点，综合施策，力争到 </w:t>
            </w:r>
            <w:r>
              <w:rPr>
                <w:rFonts w:ascii="Times New Roman" w:eastAsia="Times New Roman"/>
                <w:sz w:val="21"/>
              </w:rPr>
              <w:t xml:space="preserve">2020 </w:t>
            </w:r>
            <w:r>
              <w:rPr>
                <w:sz w:val="21"/>
              </w:rPr>
              <w:t>年全省基本消除劣</w:t>
            </w:r>
            <w:r>
              <w:rPr>
                <w:rFonts w:ascii="Times New Roman" w:eastAsia="Times New Roman"/>
                <w:sz w:val="21"/>
              </w:rPr>
              <w:t xml:space="preserve">V </w:t>
            </w:r>
            <w:r>
              <w:rPr>
                <w:sz w:val="21"/>
              </w:rPr>
              <w:t>类水体。</w:t>
            </w:r>
          </w:p>
        </w:tc>
        <w:tc>
          <w:tcPr>
            <w:tcW w:w="5044" w:type="dxa"/>
          </w:tcPr>
          <w:p>
            <w:pPr>
              <w:pStyle w:val="12"/>
              <w:spacing w:line="237" w:lineRule="exact"/>
              <w:ind w:left="105"/>
              <w:rPr>
                <w:sz w:val="21"/>
              </w:rPr>
            </w:pPr>
            <w:r>
              <w:rPr>
                <w:sz w:val="21"/>
              </w:rPr>
              <w:t>贵州省生态环境厅贵州省发展和改革委员会关于印</w:t>
            </w:r>
          </w:p>
          <w:p>
            <w:pPr>
              <w:pStyle w:val="12"/>
              <w:spacing w:before="3" w:line="240" w:lineRule="exact"/>
              <w:ind w:left="105" w:right="97"/>
              <w:rPr>
                <w:sz w:val="21"/>
              </w:rPr>
            </w:pPr>
            <w:r>
              <w:rPr>
                <w:sz w:val="21"/>
              </w:rPr>
              <w:t>发《贵州省开着呢长江珠江上游生态屏障保护修复攻坚行动方案》的通知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38" w:type="dxa"/>
            <w:vMerge w:val="restart"/>
          </w:tcPr>
          <w:p>
            <w:pPr>
              <w:pStyle w:val="12"/>
              <w:rPr>
                <w:b/>
                <w:sz w:val="20"/>
              </w:rPr>
            </w:pPr>
          </w:p>
          <w:p>
            <w:pPr>
              <w:pStyle w:val="12"/>
              <w:rPr>
                <w:b/>
                <w:sz w:val="20"/>
              </w:rPr>
            </w:pPr>
          </w:p>
          <w:p>
            <w:pPr>
              <w:pStyle w:val="12"/>
              <w:rPr>
                <w:b/>
                <w:sz w:val="20"/>
              </w:rPr>
            </w:pPr>
          </w:p>
          <w:p>
            <w:pPr>
              <w:pStyle w:val="12"/>
              <w:spacing w:before="5"/>
              <w:rPr>
                <w:b/>
                <w:sz w:val="16"/>
              </w:rPr>
            </w:pPr>
          </w:p>
          <w:p>
            <w:pPr>
              <w:pStyle w:val="12"/>
              <w:spacing w:line="213" w:lineRule="auto"/>
              <w:ind w:left="107" w:right="92"/>
              <w:rPr>
                <w:sz w:val="21"/>
              </w:rPr>
            </w:pPr>
            <w:r>
              <w:rPr>
                <w:sz w:val="21"/>
              </w:rPr>
              <w:t>环境风险防控</w:t>
            </w:r>
          </w:p>
        </w:tc>
        <w:tc>
          <w:tcPr>
            <w:tcW w:w="1714" w:type="dxa"/>
            <w:vMerge w:val="restart"/>
          </w:tcPr>
          <w:p>
            <w:pPr>
              <w:pStyle w:val="12"/>
              <w:rPr>
                <w:b/>
                <w:sz w:val="20"/>
              </w:rPr>
            </w:pPr>
          </w:p>
          <w:p>
            <w:pPr>
              <w:pStyle w:val="12"/>
              <w:rPr>
                <w:b/>
                <w:sz w:val="20"/>
              </w:rPr>
            </w:pPr>
          </w:p>
          <w:p>
            <w:pPr>
              <w:pStyle w:val="12"/>
              <w:spacing w:before="6"/>
              <w:rPr>
                <w:b/>
                <w:sz w:val="24"/>
              </w:rPr>
            </w:pPr>
          </w:p>
          <w:p>
            <w:pPr>
              <w:pStyle w:val="12"/>
              <w:ind w:left="107"/>
              <w:rPr>
                <w:sz w:val="21"/>
              </w:rPr>
            </w:pPr>
            <w:r>
              <w:rPr>
                <w:sz w:val="21"/>
              </w:rPr>
              <w:t>水污染</w:t>
            </w:r>
          </w:p>
        </w:tc>
        <w:tc>
          <w:tcPr>
            <w:tcW w:w="716" w:type="dxa"/>
          </w:tcPr>
          <w:p>
            <w:pPr>
              <w:pStyle w:val="12"/>
              <w:spacing w:before="115"/>
              <w:ind w:left="126" w:right="118"/>
              <w:jc w:val="center"/>
              <w:rPr>
                <w:rFonts w:ascii="Times New Roman"/>
                <w:sz w:val="21"/>
              </w:rPr>
            </w:pPr>
            <w:r>
              <w:rPr>
                <w:rFonts w:ascii="Times New Roman"/>
                <w:sz w:val="21"/>
              </w:rPr>
              <w:t>42</w:t>
            </w:r>
          </w:p>
        </w:tc>
        <w:tc>
          <w:tcPr>
            <w:tcW w:w="12334" w:type="dxa"/>
          </w:tcPr>
          <w:p>
            <w:pPr>
              <w:pStyle w:val="12"/>
              <w:spacing w:line="240" w:lineRule="exact"/>
              <w:ind w:left="106" w:right="96"/>
              <w:rPr>
                <w:sz w:val="21"/>
              </w:rPr>
            </w:pPr>
            <w:r>
              <w:rPr>
                <w:spacing w:val="-7"/>
                <w:sz w:val="21"/>
              </w:rPr>
              <w:t>樟江流域内县级人民政府应当制定流域水污染事故应急预案。在樟江流域内从事生产、经营、储存、运输等可能造成水污染事故的单</w:t>
            </w:r>
            <w:r>
              <w:rPr>
                <w:spacing w:val="-5"/>
                <w:sz w:val="21"/>
              </w:rPr>
              <w:t>位，应当制定水污染事故应急预案。</w:t>
            </w:r>
          </w:p>
        </w:tc>
        <w:tc>
          <w:tcPr>
            <w:tcW w:w="5044" w:type="dxa"/>
          </w:tcPr>
          <w:p>
            <w:pPr>
              <w:pStyle w:val="12"/>
              <w:spacing w:before="102"/>
              <w:ind w:left="105"/>
              <w:rPr>
                <w:sz w:val="21"/>
              </w:rPr>
            </w:pPr>
            <w:r>
              <w:rPr>
                <w:sz w:val="21"/>
              </w:rPr>
              <w:t>《黔南布依族苗族自治州樟江流域保护条例》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138" w:type="dxa"/>
            <w:vMerge w:val="continue"/>
            <w:tcBorders>
              <w:top w:val="nil"/>
            </w:tcBorders>
          </w:tcPr>
          <w:p>
            <w:pPr>
              <w:rPr>
                <w:sz w:val="2"/>
                <w:szCs w:val="2"/>
              </w:rPr>
            </w:pPr>
          </w:p>
        </w:tc>
        <w:tc>
          <w:tcPr>
            <w:tcW w:w="1714" w:type="dxa"/>
            <w:vMerge w:val="continue"/>
            <w:tcBorders>
              <w:top w:val="nil"/>
            </w:tcBorders>
          </w:tcPr>
          <w:p>
            <w:pPr>
              <w:rPr>
                <w:sz w:val="2"/>
                <w:szCs w:val="2"/>
              </w:rPr>
            </w:pPr>
          </w:p>
        </w:tc>
        <w:tc>
          <w:tcPr>
            <w:tcW w:w="716" w:type="dxa"/>
          </w:tcPr>
          <w:p>
            <w:pPr>
              <w:pStyle w:val="12"/>
              <w:rPr>
                <w:b/>
              </w:rPr>
            </w:pPr>
          </w:p>
          <w:p>
            <w:pPr>
              <w:pStyle w:val="12"/>
              <w:spacing w:before="5"/>
              <w:rPr>
                <w:b/>
                <w:sz w:val="24"/>
              </w:rPr>
            </w:pPr>
          </w:p>
          <w:p>
            <w:pPr>
              <w:pStyle w:val="12"/>
              <w:spacing w:before="1"/>
              <w:ind w:left="126" w:right="118"/>
              <w:jc w:val="center"/>
              <w:rPr>
                <w:rFonts w:ascii="Times New Roman"/>
                <w:sz w:val="21"/>
              </w:rPr>
            </w:pPr>
            <w:r>
              <w:rPr>
                <w:rFonts w:ascii="Times New Roman"/>
                <w:sz w:val="21"/>
              </w:rPr>
              <w:t>43</w:t>
            </w:r>
          </w:p>
        </w:tc>
        <w:tc>
          <w:tcPr>
            <w:tcW w:w="12334" w:type="dxa"/>
          </w:tcPr>
          <w:p>
            <w:pPr>
              <w:pStyle w:val="12"/>
              <w:spacing w:before="4" w:line="213" w:lineRule="auto"/>
              <w:ind w:left="106" w:right="95"/>
              <w:rPr>
                <w:sz w:val="21"/>
              </w:rPr>
            </w:pPr>
            <w:r>
              <w:rPr>
                <w:spacing w:val="-7"/>
                <w:sz w:val="21"/>
              </w:rPr>
              <w:t>对水源地上游高污染高风险行业，各级环境保护部门要严格执行国家行业准入条件，严把项目审批关；加强汇水区工业污染源有毒有</w:t>
            </w:r>
            <w:r>
              <w:rPr>
                <w:spacing w:val="-5"/>
                <w:sz w:val="21"/>
              </w:rPr>
              <w:t xml:space="preserve">害物质的监控；对地下水型水源地补给径流区内的垃圾填埋场、危险废物处置场、石化生产和销售区等典型污染源进行重点监控。 </w:t>
            </w:r>
            <w:r>
              <w:rPr>
                <w:spacing w:val="-4"/>
                <w:sz w:val="21"/>
              </w:rPr>
              <w:t>对单一水源的城镇，应加快推进应急、备用水源工程以及应急处置设施建设，提高饮用水安全保障水平。</w:t>
            </w:r>
          </w:p>
          <w:p>
            <w:pPr>
              <w:pStyle w:val="12"/>
              <w:spacing w:line="233" w:lineRule="exact"/>
              <w:ind w:left="106"/>
              <w:rPr>
                <w:sz w:val="21"/>
              </w:rPr>
            </w:pPr>
            <w:r>
              <w:rPr>
                <w:sz w:val="21"/>
              </w:rPr>
              <w:t>各地环境保护部门要联合交通运输、公安、住房城乡建设等部门，尽快建设和完善水源地保护区公路、水路危险品运输管理系统。</w:t>
            </w:r>
          </w:p>
          <w:p>
            <w:pPr>
              <w:pStyle w:val="12"/>
              <w:spacing w:before="4" w:line="240" w:lineRule="exact"/>
              <w:ind w:left="106" w:right="96"/>
              <w:rPr>
                <w:sz w:val="21"/>
              </w:rPr>
            </w:pPr>
            <w:r>
              <w:rPr>
                <w:rFonts w:ascii="Times New Roman" w:eastAsia="Times New Roman"/>
                <w:sz w:val="21"/>
              </w:rPr>
              <w:t xml:space="preserve">2015 </w:t>
            </w:r>
            <w:r>
              <w:rPr>
                <w:spacing w:val="-3"/>
                <w:sz w:val="21"/>
              </w:rPr>
              <w:t>年底前，制定和完善饮用水源污染应急预案，建立饮用水源地的污染来源预警、水质安全应急处理和水厂应急处理三位一体的饮用水源地应急保障体系。</w:t>
            </w:r>
          </w:p>
        </w:tc>
        <w:tc>
          <w:tcPr>
            <w:tcW w:w="5044" w:type="dxa"/>
          </w:tcPr>
          <w:p>
            <w:pPr>
              <w:pStyle w:val="12"/>
              <w:rPr>
                <w:b/>
                <w:sz w:val="20"/>
              </w:rPr>
            </w:pPr>
          </w:p>
          <w:p>
            <w:pPr>
              <w:pStyle w:val="12"/>
              <w:spacing w:before="4"/>
              <w:rPr>
                <w:b/>
                <w:sz w:val="25"/>
              </w:rPr>
            </w:pPr>
          </w:p>
          <w:p>
            <w:pPr>
              <w:pStyle w:val="12"/>
              <w:spacing w:before="1"/>
              <w:ind w:left="105"/>
              <w:rPr>
                <w:sz w:val="21"/>
              </w:rPr>
            </w:pPr>
            <w:r>
              <w:rPr>
                <w:sz w:val="21"/>
              </w:rPr>
              <w:t>《黔南州水污染防治规划》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38" w:type="dxa"/>
            <w:vMerge w:val="continue"/>
            <w:tcBorders>
              <w:top w:val="nil"/>
            </w:tcBorders>
          </w:tcPr>
          <w:p>
            <w:pPr>
              <w:rPr>
                <w:sz w:val="2"/>
                <w:szCs w:val="2"/>
              </w:rPr>
            </w:pPr>
          </w:p>
        </w:tc>
        <w:tc>
          <w:tcPr>
            <w:tcW w:w="1714" w:type="dxa"/>
          </w:tcPr>
          <w:p>
            <w:pPr>
              <w:pStyle w:val="12"/>
              <w:spacing w:line="219" w:lineRule="exact"/>
              <w:ind w:left="107"/>
              <w:rPr>
                <w:sz w:val="21"/>
              </w:rPr>
            </w:pPr>
            <w:r>
              <w:rPr>
                <w:sz w:val="21"/>
              </w:rPr>
              <w:t>土壤</w:t>
            </w:r>
          </w:p>
        </w:tc>
        <w:tc>
          <w:tcPr>
            <w:tcW w:w="716" w:type="dxa"/>
          </w:tcPr>
          <w:p>
            <w:pPr>
              <w:pStyle w:val="12"/>
              <w:spacing w:line="219" w:lineRule="exact"/>
              <w:ind w:left="126" w:right="118"/>
              <w:jc w:val="center"/>
              <w:rPr>
                <w:rFonts w:ascii="Times New Roman"/>
                <w:sz w:val="21"/>
              </w:rPr>
            </w:pPr>
            <w:r>
              <w:rPr>
                <w:rFonts w:ascii="Times New Roman"/>
                <w:sz w:val="21"/>
              </w:rPr>
              <w:t>44</w:t>
            </w:r>
          </w:p>
        </w:tc>
        <w:tc>
          <w:tcPr>
            <w:tcW w:w="12334" w:type="dxa"/>
          </w:tcPr>
          <w:p>
            <w:pPr>
              <w:pStyle w:val="12"/>
              <w:spacing w:line="219" w:lineRule="exact"/>
              <w:ind w:left="106"/>
              <w:rPr>
                <w:sz w:val="21"/>
              </w:rPr>
            </w:pPr>
            <w:r>
              <w:rPr>
                <w:sz w:val="21"/>
              </w:rPr>
              <w:t>加强独山县、三都县、都匀市、荔波县等区域历史遗留废渣治理。</w:t>
            </w:r>
          </w:p>
        </w:tc>
        <w:tc>
          <w:tcPr>
            <w:tcW w:w="5044" w:type="dxa"/>
          </w:tcPr>
          <w:p>
            <w:pPr>
              <w:pStyle w:val="12"/>
              <w:spacing w:line="219" w:lineRule="exact"/>
              <w:ind w:left="105"/>
              <w:rPr>
                <w:sz w:val="21"/>
              </w:rPr>
            </w:pPr>
            <w:r>
              <w:rPr>
                <w:sz w:val="21"/>
              </w:rPr>
              <w:t>《黔南州土壤污染治理与修复规划》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38" w:type="dxa"/>
            <w:vMerge w:val="continue"/>
            <w:tcBorders>
              <w:top w:val="nil"/>
            </w:tcBorders>
          </w:tcPr>
          <w:p>
            <w:pPr>
              <w:rPr>
                <w:sz w:val="2"/>
                <w:szCs w:val="2"/>
              </w:rPr>
            </w:pPr>
          </w:p>
        </w:tc>
        <w:tc>
          <w:tcPr>
            <w:tcW w:w="1714" w:type="dxa"/>
          </w:tcPr>
          <w:p>
            <w:pPr>
              <w:pStyle w:val="12"/>
              <w:spacing w:line="220" w:lineRule="exact"/>
              <w:ind w:left="107"/>
              <w:rPr>
                <w:sz w:val="21"/>
              </w:rPr>
            </w:pPr>
            <w:r>
              <w:rPr>
                <w:sz w:val="21"/>
              </w:rPr>
              <w:t>联防联控</w:t>
            </w:r>
          </w:p>
        </w:tc>
        <w:tc>
          <w:tcPr>
            <w:tcW w:w="716" w:type="dxa"/>
          </w:tcPr>
          <w:p>
            <w:pPr>
              <w:pStyle w:val="12"/>
              <w:spacing w:line="220" w:lineRule="exact"/>
              <w:ind w:left="126" w:right="118"/>
              <w:jc w:val="center"/>
              <w:rPr>
                <w:rFonts w:ascii="Times New Roman"/>
                <w:sz w:val="21"/>
              </w:rPr>
            </w:pPr>
            <w:r>
              <w:rPr>
                <w:rFonts w:ascii="Times New Roman"/>
                <w:sz w:val="21"/>
              </w:rPr>
              <w:t>45</w:t>
            </w:r>
          </w:p>
        </w:tc>
        <w:tc>
          <w:tcPr>
            <w:tcW w:w="12334" w:type="dxa"/>
          </w:tcPr>
          <w:p>
            <w:pPr>
              <w:pStyle w:val="12"/>
              <w:spacing w:line="220" w:lineRule="exact"/>
              <w:ind w:left="106"/>
              <w:rPr>
                <w:sz w:val="21"/>
              </w:rPr>
            </w:pPr>
            <w:r>
              <w:rPr>
                <w:sz w:val="21"/>
              </w:rPr>
              <w:t>强化空气质量预测预报；开展大气污染源解析；强化污染天气应急管控建立完善环境空气质量监管机制；</w:t>
            </w:r>
          </w:p>
        </w:tc>
        <w:tc>
          <w:tcPr>
            <w:tcW w:w="5044" w:type="dxa"/>
          </w:tcPr>
          <w:p>
            <w:pPr>
              <w:pStyle w:val="12"/>
              <w:spacing w:line="220" w:lineRule="exact"/>
              <w:ind w:left="105"/>
              <w:rPr>
                <w:sz w:val="21"/>
              </w:rPr>
            </w:pPr>
            <w:r>
              <w:rPr>
                <w:sz w:val="21"/>
              </w:rPr>
              <w:t>《黔南州打赢蓝天保卫战三年行动计划》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138" w:type="dxa"/>
            <w:vMerge w:val="restart"/>
          </w:tcPr>
          <w:p>
            <w:pPr>
              <w:pStyle w:val="12"/>
              <w:rPr>
                <w:b/>
                <w:sz w:val="20"/>
              </w:rPr>
            </w:pPr>
          </w:p>
          <w:p>
            <w:pPr>
              <w:pStyle w:val="12"/>
              <w:rPr>
                <w:b/>
                <w:sz w:val="20"/>
              </w:rPr>
            </w:pPr>
          </w:p>
          <w:p>
            <w:pPr>
              <w:pStyle w:val="12"/>
              <w:rPr>
                <w:b/>
                <w:sz w:val="20"/>
              </w:rPr>
            </w:pPr>
          </w:p>
          <w:p>
            <w:pPr>
              <w:pStyle w:val="12"/>
              <w:rPr>
                <w:b/>
                <w:sz w:val="20"/>
              </w:rPr>
            </w:pPr>
          </w:p>
          <w:p>
            <w:pPr>
              <w:pStyle w:val="12"/>
              <w:rPr>
                <w:b/>
                <w:sz w:val="18"/>
              </w:rPr>
            </w:pPr>
          </w:p>
          <w:p>
            <w:pPr>
              <w:pStyle w:val="12"/>
              <w:spacing w:line="213" w:lineRule="auto"/>
              <w:ind w:left="107" w:right="92"/>
              <w:rPr>
                <w:sz w:val="21"/>
              </w:rPr>
            </w:pPr>
            <w:r>
              <w:rPr>
                <w:sz w:val="21"/>
              </w:rPr>
              <w:t>资源利用效率要求</w:t>
            </w:r>
          </w:p>
        </w:tc>
        <w:tc>
          <w:tcPr>
            <w:tcW w:w="1714" w:type="dxa"/>
          </w:tcPr>
          <w:p>
            <w:pPr>
              <w:pStyle w:val="12"/>
              <w:spacing w:before="4"/>
              <w:rPr>
                <w:b/>
                <w:sz w:val="19"/>
              </w:rPr>
            </w:pPr>
          </w:p>
          <w:p>
            <w:pPr>
              <w:pStyle w:val="12"/>
              <w:spacing w:line="213" w:lineRule="auto"/>
              <w:ind w:left="107" w:right="98"/>
              <w:rPr>
                <w:sz w:val="21"/>
              </w:rPr>
            </w:pPr>
            <w:r>
              <w:rPr>
                <w:sz w:val="21"/>
              </w:rPr>
              <w:t>能源资源开发利用效率</w:t>
            </w:r>
          </w:p>
        </w:tc>
        <w:tc>
          <w:tcPr>
            <w:tcW w:w="716" w:type="dxa"/>
          </w:tcPr>
          <w:p>
            <w:pPr>
              <w:pStyle w:val="12"/>
              <w:spacing w:before="12"/>
              <w:rPr>
                <w:b/>
                <w:sz w:val="27"/>
              </w:rPr>
            </w:pPr>
          </w:p>
          <w:p>
            <w:pPr>
              <w:pStyle w:val="12"/>
              <w:spacing w:before="1"/>
              <w:ind w:left="126" w:right="118"/>
              <w:jc w:val="center"/>
              <w:rPr>
                <w:rFonts w:ascii="Times New Roman"/>
                <w:sz w:val="21"/>
              </w:rPr>
            </w:pPr>
            <w:r>
              <w:rPr>
                <w:rFonts w:ascii="Times New Roman"/>
                <w:sz w:val="21"/>
              </w:rPr>
              <w:t>46</w:t>
            </w:r>
          </w:p>
        </w:tc>
        <w:tc>
          <w:tcPr>
            <w:tcW w:w="12334" w:type="dxa"/>
          </w:tcPr>
          <w:p>
            <w:pPr>
              <w:pStyle w:val="12"/>
              <w:spacing w:before="7" w:line="213" w:lineRule="auto"/>
              <w:ind w:left="106" w:right="96"/>
              <w:jc w:val="both"/>
              <w:rPr>
                <w:sz w:val="21"/>
              </w:rPr>
            </w:pPr>
            <w:r>
              <w:rPr>
                <w:rFonts w:ascii="Times New Roman" w:eastAsia="Times New Roman"/>
                <w:sz w:val="21"/>
              </w:rPr>
              <w:t>1</w:t>
            </w:r>
            <w:r>
              <w:rPr>
                <w:spacing w:val="-5"/>
                <w:sz w:val="21"/>
              </w:rPr>
              <w:t xml:space="preserve">、优化能源结构，加快清洁能源开发和使用，到 </w:t>
            </w:r>
            <w:r>
              <w:rPr>
                <w:rFonts w:ascii="Times New Roman" w:eastAsia="Times New Roman"/>
                <w:sz w:val="21"/>
              </w:rPr>
              <w:t xml:space="preserve">2020 </w:t>
            </w:r>
            <w:r>
              <w:rPr>
                <w:spacing w:val="-5"/>
                <w:sz w:val="21"/>
              </w:rPr>
              <w:t xml:space="preserve">年，单位地区生产总值能耗比 </w:t>
            </w:r>
            <w:r>
              <w:rPr>
                <w:rFonts w:ascii="Times New Roman" w:eastAsia="Times New Roman"/>
                <w:sz w:val="21"/>
              </w:rPr>
              <w:t xml:space="preserve">2015 </w:t>
            </w:r>
            <w:r>
              <w:rPr>
                <w:spacing w:val="-9"/>
                <w:sz w:val="21"/>
              </w:rPr>
              <w:t xml:space="preserve">年下降 </w:t>
            </w:r>
            <w:r>
              <w:rPr>
                <w:rFonts w:ascii="Times New Roman" w:eastAsia="Times New Roman"/>
                <w:sz w:val="21"/>
              </w:rPr>
              <w:t>26.6%</w:t>
            </w:r>
            <w:r>
              <w:rPr>
                <w:spacing w:val="-3"/>
                <w:sz w:val="21"/>
              </w:rPr>
              <w:t>左右，单位地区生产总值二</w:t>
            </w:r>
            <w:r>
              <w:rPr>
                <w:spacing w:val="-7"/>
                <w:sz w:val="21"/>
              </w:rPr>
              <w:t xml:space="preserve">氧化碳排放比 </w:t>
            </w:r>
            <w:r>
              <w:rPr>
                <w:rFonts w:ascii="Times New Roman" w:eastAsia="Times New Roman"/>
                <w:sz w:val="21"/>
              </w:rPr>
              <w:t xml:space="preserve">2015 </w:t>
            </w:r>
            <w:r>
              <w:rPr>
                <w:spacing w:val="-8"/>
                <w:sz w:val="21"/>
              </w:rPr>
              <w:t xml:space="preserve">年下降 </w:t>
            </w:r>
            <w:r>
              <w:rPr>
                <w:rFonts w:ascii="Times New Roman" w:eastAsia="Times New Roman"/>
                <w:sz w:val="21"/>
              </w:rPr>
              <w:t>17%</w:t>
            </w:r>
            <w:r>
              <w:rPr>
                <w:spacing w:val="-5"/>
                <w:sz w:val="21"/>
              </w:rPr>
              <w:t xml:space="preserve">左右。天然气占能源消费总量比重达到 </w:t>
            </w:r>
            <w:r>
              <w:rPr>
                <w:rFonts w:ascii="Times New Roman" w:eastAsia="Times New Roman"/>
                <w:sz w:val="21"/>
              </w:rPr>
              <w:t>12.2%</w:t>
            </w:r>
            <w:r>
              <w:rPr>
                <w:spacing w:val="-5"/>
                <w:sz w:val="21"/>
              </w:rPr>
              <w:t xml:space="preserve">，非化石能源占能源消费总量比重达到 </w:t>
            </w:r>
            <w:r>
              <w:rPr>
                <w:rFonts w:ascii="Times New Roman" w:eastAsia="Times New Roman"/>
                <w:sz w:val="21"/>
              </w:rPr>
              <w:t>15.8%</w:t>
            </w:r>
            <w:r>
              <w:rPr>
                <w:sz w:val="21"/>
              </w:rPr>
              <w:t>，煤炭占</w:t>
            </w:r>
            <w:r>
              <w:rPr>
                <w:spacing w:val="-8"/>
                <w:sz w:val="21"/>
              </w:rPr>
              <w:t xml:space="preserve">能源消费总量比重下降到 </w:t>
            </w:r>
            <w:r>
              <w:rPr>
                <w:rFonts w:ascii="Times New Roman" w:eastAsia="Times New Roman"/>
                <w:sz w:val="21"/>
              </w:rPr>
              <w:t>58%</w:t>
            </w:r>
            <w:r>
              <w:rPr>
                <w:sz w:val="21"/>
              </w:rPr>
              <w:t>。</w:t>
            </w:r>
          </w:p>
          <w:p>
            <w:pPr>
              <w:pStyle w:val="12"/>
              <w:spacing w:line="217" w:lineRule="exact"/>
              <w:ind w:left="106"/>
              <w:rPr>
                <w:sz w:val="21"/>
              </w:rPr>
            </w:pPr>
            <w:r>
              <w:rPr>
                <w:rFonts w:ascii="Times New Roman" w:eastAsia="Times New Roman"/>
                <w:sz w:val="21"/>
              </w:rPr>
              <w:t>2</w:t>
            </w:r>
            <w:r>
              <w:rPr>
                <w:sz w:val="21"/>
              </w:rPr>
              <w:t>、提高电煤清洁利用比例，鼓励使用优质煤炭，降低非电煤、散煤等使用量，限制高灰、劣质煤调入和分散利用。</w:t>
            </w:r>
          </w:p>
        </w:tc>
        <w:tc>
          <w:tcPr>
            <w:tcW w:w="5044" w:type="dxa"/>
          </w:tcPr>
          <w:p>
            <w:pPr>
              <w:pStyle w:val="12"/>
              <w:spacing w:before="11"/>
              <w:rPr>
                <w:b/>
                <w:sz w:val="26"/>
              </w:rPr>
            </w:pPr>
          </w:p>
          <w:p>
            <w:pPr>
              <w:pStyle w:val="12"/>
              <w:ind w:left="105"/>
              <w:rPr>
                <w:sz w:val="21"/>
              </w:rPr>
            </w:pPr>
            <w:r>
              <w:rPr>
                <w:sz w:val="21"/>
              </w:rPr>
              <w:t>《黔南州</w:t>
            </w:r>
            <w:r>
              <w:rPr>
                <w:rFonts w:ascii="Times New Roman" w:hAnsi="Times New Roman" w:eastAsia="Times New Roman"/>
                <w:sz w:val="21"/>
              </w:rPr>
              <w:t>“</w:t>
            </w:r>
            <w:r>
              <w:rPr>
                <w:sz w:val="21"/>
              </w:rPr>
              <w:t>十三五</w:t>
            </w:r>
            <w:r>
              <w:rPr>
                <w:rFonts w:ascii="Times New Roman" w:hAnsi="Times New Roman" w:eastAsia="Times New Roman"/>
                <w:sz w:val="21"/>
              </w:rPr>
              <w:t>”</w:t>
            </w:r>
            <w:r>
              <w:rPr>
                <w:sz w:val="21"/>
              </w:rPr>
              <w:t>能源发展规划》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38" w:type="dxa"/>
            <w:vMerge w:val="continue"/>
            <w:tcBorders>
              <w:top w:val="nil"/>
            </w:tcBorders>
          </w:tcPr>
          <w:p>
            <w:pPr>
              <w:rPr>
                <w:sz w:val="2"/>
                <w:szCs w:val="2"/>
              </w:rPr>
            </w:pPr>
          </w:p>
        </w:tc>
        <w:tc>
          <w:tcPr>
            <w:tcW w:w="1714" w:type="dxa"/>
          </w:tcPr>
          <w:p>
            <w:pPr>
              <w:pStyle w:val="12"/>
              <w:spacing w:before="125" w:line="213" w:lineRule="auto"/>
              <w:ind w:left="107" w:right="98"/>
              <w:rPr>
                <w:sz w:val="21"/>
              </w:rPr>
            </w:pPr>
            <w:r>
              <w:rPr>
                <w:sz w:val="21"/>
              </w:rPr>
              <w:t>水资源利用总量要求</w:t>
            </w:r>
          </w:p>
        </w:tc>
        <w:tc>
          <w:tcPr>
            <w:tcW w:w="716" w:type="dxa"/>
          </w:tcPr>
          <w:p>
            <w:pPr>
              <w:pStyle w:val="12"/>
              <w:spacing w:before="5"/>
              <w:rPr>
                <w:b/>
                <w:sz w:val="18"/>
              </w:rPr>
            </w:pPr>
          </w:p>
          <w:p>
            <w:pPr>
              <w:pStyle w:val="12"/>
              <w:ind w:left="126" w:right="118"/>
              <w:jc w:val="center"/>
              <w:rPr>
                <w:rFonts w:ascii="Times New Roman"/>
                <w:sz w:val="21"/>
              </w:rPr>
            </w:pPr>
            <w:r>
              <w:rPr>
                <w:rFonts w:ascii="Times New Roman"/>
                <w:sz w:val="21"/>
              </w:rPr>
              <w:t>47</w:t>
            </w:r>
          </w:p>
        </w:tc>
        <w:tc>
          <w:tcPr>
            <w:tcW w:w="12334" w:type="dxa"/>
          </w:tcPr>
          <w:p>
            <w:pPr>
              <w:pStyle w:val="12"/>
              <w:spacing w:before="101" w:line="255" w:lineRule="exact"/>
              <w:ind w:left="106"/>
              <w:rPr>
                <w:sz w:val="21"/>
              </w:rPr>
            </w:pPr>
            <w:r>
              <w:rPr>
                <w:spacing w:val="-24"/>
                <w:sz w:val="21"/>
              </w:rPr>
              <w:t xml:space="preserve">到 </w:t>
            </w:r>
            <w:r>
              <w:rPr>
                <w:rFonts w:ascii="Times New Roman" w:eastAsia="Times New Roman"/>
                <w:sz w:val="21"/>
              </w:rPr>
              <w:t xml:space="preserve">2020 </w:t>
            </w:r>
            <w:r>
              <w:rPr>
                <w:spacing w:val="-8"/>
                <w:sz w:val="21"/>
              </w:rPr>
              <w:t xml:space="preserve">年，全州年用水总量不得超过 </w:t>
            </w:r>
            <w:r>
              <w:rPr>
                <w:rFonts w:ascii="Times New Roman" w:eastAsia="Times New Roman"/>
                <w:sz w:val="21"/>
              </w:rPr>
              <w:t xml:space="preserve">14.65 </w:t>
            </w:r>
            <w:r>
              <w:rPr>
                <w:spacing w:val="-8"/>
                <w:sz w:val="21"/>
              </w:rPr>
              <w:t xml:space="preserve">亿立方米；万元国内生产总值用水量比 </w:t>
            </w:r>
            <w:r>
              <w:rPr>
                <w:rFonts w:ascii="Times New Roman" w:eastAsia="Times New Roman"/>
                <w:sz w:val="21"/>
              </w:rPr>
              <w:t xml:space="preserve">2015 </w:t>
            </w:r>
            <w:r>
              <w:rPr>
                <w:spacing w:val="-11"/>
                <w:sz w:val="21"/>
              </w:rPr>
              <w:t xml:space="preserve">年分别下降 </w:t>
            </w:r>
            <w:r>
              <w:rPr>
                <w:rFonts w:ascii="Times New Roman" w:eastAsia="Times New Roman"/>
                <w:spacing w:val="-5"/>
                <w:sz w:val="21"/>
              </w:rPr>
              <w:t>32%</w:t>
            </w:r>
            <w:r>
              <w:rPr>
                <w:spacing w:val="-3"/>
                <w:sz w:val="21"/>
              </w:rPr>
              <w:t>；万元工业增加值用水量比</w:t>
            </w:r>
          </w:p>
          <w:p>
            <w:pPr>
              <w:pStyle w:val="12"/>
              <w:spacing w:line="255" w:lineRule="exact"/>
              <w:ind w:left="106"/>
              <w:rPr>
                <w:sz w:val="21"/>
              </w:rPr>
            </w:pPr>
            <w:r>
              <w:rPr>
                <w:rFonts w:ascii="Times New Roman" w:eastAsia="Times New Roman"/>
                <w:sz w:val="21"/>
              </w:rPr>
              <w:t xml:space="preserve">2015 </w:t>
            </w:r>
            <w:r>
              <w:rPr>
                <w:sz w:val="21"/>
              </w:rPr>
              <w:t xml:space="preserve">年分别下降 </w:t>
            </w:r>
            <w:r>
              <w:rPr>
                <w:rFonts w:ascii="Times New Roman" w:eastAsia="Times New Roman"/>
                <w:sz w:val="21"/>
              </w:rPr>
              <w:t>33%</w:t>
            </w:r>
            <w:r>
              <w:rPr>
                <w:sz w:val="21"/>
              </w:rPr>
              <w:t>。</w:t>
            </w:r>
          </w:p>
        </w:tc>
        <w:tc>
          <w:tcPr>
            <w:tcW w:w="5044" w:type="dxa"/>
          </w:tcPr>
          <w:p>
            <w:pPr>
              <w:pStyle w:val="12"/>
              <w:spacing w:before="5" w:line="213" w:lineRule="auto"/>
              <w:ind w:left="105" w:right="97"/>
              <w:rPr>
                <w:sz w:val="21"/>
              </w:rPr>
            </w:pPr>
            <w:r>
              <w:rPr>
                <w:sz w:val="21"/>
              </w:rPr>
              <w:t>黔南府办函</w:t>
            </w:r>
            <w:r>
              <w:rPr>
                <w:rFonts w:ascii="Times New Roman" w:eastAsia="Times New Roman"/>
                <w:sz w:val="21"/>
              </w:rPr>
              <w:t xml:space="preserve">[2017]17 </w:t>
            </w:r>
            <w:r>
              <w:rPr>
                <w:sz w:val="21"/>
              </w:rPr>
              <w:t xml:space="preserve">号《黔南州人民政府办公室关于印发 </w:t>
            </w:r>
            <w:r>
              <w:rPr>
                <w:rFonts w:ascii="Times New Roman" w:eastAsia="Times New Roman"/>
                <w:sz w:val="21"/>
              </w:rPr>
              <w:t xml:space="preserve">2020 </w:t>
            </w:r>
            <w:r>
              <w:rPr>
                <w:sz w:val="21"/>
              </w:rPr>
              <w:t>年用水强度控制指标和调整全州用水总量</w:t>
            </w:r>
          </w:p>
          <w:p>
            <w:pPr>
              <w:pStyle w:val="12"/>
              <w:spacing w:line="216" w:lineRule="exact"/>
              <w:ind w:left="105"/>
              <w:rPr>
                <w:sz w:val="21"/>
              </w:rPr>
            </w:pPr>
            <w:r>
              <w:rPr>
                <w:sz w:val="21"/>
              </w:rPr>
              <w:t>控制目标的通知》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38" w:type="dxa"/>
            <w:vMerge w:val="continue"/>
            <w:tcBorders>
              <w:top w:val="nil"/>
            </w:tcBorders>
          </w:tcPr>
          <w:p>
            <w:pPr>
              <w:rPr>
                <w:sz w:val="2"/>
                <w:szCs w:val="2"/>
              </w:rPr>
            </w:pPr>
          </w:p>
        </w:tc>
        <w:tc>
          <w:tcPr>
            <w:tcW w:w="1714" w:type="dxa"/>
          </w:tcPr>
          <w:p>
            <w:pPr>
              <w:pStyle w:val="12"/>
              <w:spacing w:before="125" w:line="213" w:lineRule="auto"/>
              <w:ind w:left="107" w:right="98"/>
              <w:rPr>
                <w:sz w:val="21"/>
              </w:rPr>
            </w:pPr>
            <w:r>
              <w:rPr>
                <w:sz w:val="21"/>
              </w:rPr>
              <w:t>土地资源开发利用效率</w:t>
            </w:r>
          </w:p>
        </w:tc>
        <w:tc>
          <w:tcPr>
            <w:tcW w:w="716" w:type="dxa"/>
          </w:tcPr>
          <w:p>
            <w:pPr>
              <w:pStyle w:val="12"/>
              <w:spacing w:before="5"/>
              <w:rPr>
                <w:b/>
                <w:sz w:val="18"/>
              </w:rPr>
            </w:pPr>
          </w:p>
          <w:p>
            <w:pPr>
              <w:pStyle w:val="12"/>
              <w:ind w:left="126" w:right="118"/>
              <w:jc w:val="center"/>
              <w:rPr>
                <w:rFonts w:ascii="Times New Roman"/>
                <w:sz w:val="21"/>
              </w:rPr>
            </w:pPr>
            <w:r>
              <w:rPr>
                <w:rFonts w:ascii="Times New Roman"/>
                <w:sz w:val="21"/>
              </w:rPr>
              <w:t>48</w:t>
            </w:r>
          </w:p>
        </w:tc>
        <w:tc>
          <w:tcPr>
            <w:tcW w:w="12334" w:type="dxa"/>
          </w:tcPr>
          <w:p>
            <w:pPr>
              <w:pStyle w:val="12"/>
              <w:spacing w:line="240" w:lineRule="exact"/>
              <w:ind w:left="106" w:right="-15"/>
              <w:rPr>
                <w:sz w:val="21"/>
              </w:rPr>
            </w:pPr>
            <w:r>
              <w:rPr>
                <w:spacing w:val="-22"/>
                <w:sz w:val="21"/>
              </w:rPr>
              <w:t xml:space="preserve">至 </w:t>
            </w:r>
            <w:r>
              <w:rPr>
                <w:rFonts w:ascii="Times New Roman" w:eastAsia="Times New Roman"/>
                <w:sz w:val="21"/>
              </w:rPr>
              <w:t>2020</w:t>
            </w:r>
            <w:r>
              <w:rPr>
                <w:rFonts w:ascii="Times New Roman" w:eastAsia="Times New Roman"/>
                <w:spacing w:val="9"/>
                <w:sz w:val="21"/>
              </w:rPr>
              <w:t xml:space="preserve"> </w:t>
            </w:r>
            <w:r>
              <w:rPr>
                <w:spacing w:val="-6"/>
                <w:sz w:val="21"/>
              </w:rPr>
              <w:t xml:space="preserve">年，全州人均城镇工矿用地规模 </w:t>
            </w:r>
            <w:r>
              <w:rPr>
                <w:rFonts w:ascii="Times New Roman" w:eastAsia="Times New Roman"/>
                <w:sz w:val="21"/>
              </w:rPr>
              <w:t>144</w:t>
            </w:r>
            <w:r>
              <w:rPr>
                <w:rFonts w:ascii="Times New Roman" w:eastAsia="Times New Roman"/>
                <w:spacing w:val="9"/>
                <w:sz w:val="21"/>
              </w:rPr>
              <w:t xml:space="preserve"> </w:t>
            </w:r>
            <w:r>
              <w:rPr>
                <w:spacing w:val="-9"/>
                <w:sz w:val="21"/>
              </w:rPr>
              <w:t xml:space="preserve">平方米，亿元 </w:t>
            </w:r>
            <w:r>
              <w:rPr>
                <w:rFonts w:ascii="Times New Roman" w:eastAsia="Times New Roman"/>
                <w:sz w:val="21"/>
              </w:rPr>
              <w:t>GDP</w:t>
            </w:r>
            <w:r>
              <w:rPr>
                <w:rFonts w:ascii="Times New Roman" w:eastAsia="Times New Roman"/>
                <w:spacing w:val="9"/>
                <w:sz w:val="21"/>
              </w:rPr>
              <w:t xml:space="preserve"> </w:t>
            </w:r>
            <w:r>
              <w:rPr>
                <w:spacing w:val="-9"/>
                <w:sz w:val="21"/>
              </w:rPr>
              <w:t xml:space="preserve">耗地量不高于 </w:t>
            </w:r>
            <w:r>
              <w:rPr>
                <w:rFonts w:ascii="Times New Roman" w:eastAsia="Times New Roman"/>
                <w:sz w:val="21"/>
              </w:rPr>
              <w:t>202</w:t>
            </w:r>
            <w:r>
              <w:rPr>
                <w:rFonts w:ascii="Times New Roman" w:eastAsia="Times New Roman"/>
                <w:spacing w:val="6"/>
                <w:sz w:val="21"/>
              </w:rPr>
              <w:t xml:space="preserve"> </w:t>
            </w:r>
            <w:r>
              <w:rPr>
                <w:sz w:val="21"/>
              </w:rPr>
              <w:t>公顷</w:t>
            </w:r>
            <w:r>
              <w:rPr>
                <w:rFonts w:ascii="Times New Roman" w:eastAsia="Times New Roman"/>
                <w:sz w:val="21"/>
              </w:rPr>
              <w:t>/</w:t>
            </w:r>
            <w:r>
              <w:rPr>
                <w:spacing w:val="-7"/>
                <w:sz w:val="21"/>
              </w:rPr>
              <w:t xml:space="preserve">亿元，耕地保有量不低于 </w:t>
            </w:r>
            <w:r>
              <w:rPr>
                <w:rFonts w:ascii="Times New Roman" w:eastAsia="Times New Roman"/>
                <w:sz w:val="21"/>
              </w:rPr>
              <w:t>462700ha</w:t>
            </w:r>
            <w:r>
              <w:rPr>
                <w:spacing w:val="-2"/>
                <w:sz w:val="21"/>
              </w:rPr>
              <w:t>，规划基</w:t>
            </w:r>
            <w:r>
              <w:rPr>
                <w:spacing w:val="-10"/>
                <w:sz w:val="21"/>
              </w:rPr>
              <w:t xml:space="preserve">本农田不低于 </w:t>
            </w:r>
            <w:r>
              <w:rPr>
                <w:rFonts w:ascii="Times New Roman" w:eastAsia="Times New Roman"/>
                <w:sz w:val="21"/>
              </w:rPr>
              <w:t>396700ha</w:t>
            </w:r>
            <w:r>
              <w:rPr>
                <w:spacing w:val="-7"/>
                <w:sz w:val="21"/>
              </w:rPr>
              <w:t xml:space="preserve">，建设用地总规模不高于 </w:t>
            </w:r>
            <w:r>
              <w:rPr>
                <w:rFonts w:ascii="Times New Roman" w:eastAsia="Times New Roman"/>
                <w:spacing w:val="-3"/>
                <w:sz w:val="21"/>
              </w:rPr>
              <w:t>82900ha</w:t>
            </w:r>
            <w:r>
              <w:rPr>
                <w:spacing w:val="-6"/>
                <w:sz w:val="21"/>
              </w:rPr>
              <w:t xml:space="preserve">，新增建设占用农用地不高于 </w:t>
            </w:r>
            <w:r>
              <w:rPr>
                <w:rFonts w:ascii="Times New Roman" w:eastAsia="Times New Roman"/>
                <w:sz w:val="21"/>
              </w:rPr>
              <w:t>19500ha</w:t>
            </w:r>
            <w:r>
              <w:rPr>
                <w:spacing w:val="-7"/>
                <w:sz w:val="21"/>
              </w:rPr>
              <w:t xml:space="preserve">，新增建设占用耕地不高于 </w:t>
            </w:r>
            <w:r>
              <w:rPr>
                <w:rFonts w:ascii="Times New Roman" w:eastAsia="Times New Roman"/>
                <w:sz w:val="21"/>
              </w:rPr>
              <w:t>15000ha</w:t>
            </w:r>
            <w:r>
              <w:rPr>
                <w:sz w:val="21"/>
              </w:rPr>
              <w:t xml:space="preserve">， </w:t>
            </w:r>
            <w:r>
              <w:rPr>
                <w:spacing w:val="-11"/>
                <w:sz w:val="21"/>
              </w:rPr>
              <w:t xml:space="preserve">园地不低于 </w:t>
            </w:r>
            <w:r>
              <w:rPr>
                <w:rFonts w:ascii="Times New Roman" w:eastAsia="Times New Roman"/>
                <w:sz w:val="21"/>
              </w:rPr>
              <w:t>29102ha</w:t>
            </w:r>
            <w:r>
              <w:rPr>
                <w:spacing w:val="-10"/>
                <w:sz w:val="21"/>
              </w:rPr>
              <w:t xml:space="preserve">，林地不低于 </w:t>
            </w:r>
            <w:r>
              <w:rPr>
                <w:rFonts w:ascii="Times New Roman" w:eastAsia="Times New Roman"/>
                <w:sz w:val="21"/>
              </w:rPr>
              <w:t>1362600ha</w:t>
            </w:r>
            <w:r>
              <w:rPr>
                <w:spacing w:val="-18"/>
                <w:sz w:val="21"/>
              </w:rPr>
              <w:t xml:space="preserve">，到 </w:t>
            </w:r>
            <w:r>
              <w:rPr>
                <w:rFonts w:ascii="Times New Roman" w:eastAsia="Times New Roman"/>
                <w:sz w:val="21"/>
              </w:rPr>
              <w:t>2020</w:t>
            </w:r>
            <w:r>
              <w:rPr>
                <w:rFonts w:ascii="Times New Roman" w:eastAsia="Times New Roman"/>
                <w:spacing w:val="1"/>
                <w:sz w:val="21"/>
              </w:rPr>
              <w:t xml:space="preserve"> </w:t>
            </w:r>
            <w:r>
              <w:rPr>
                <w:spacing w:val="-7"/>
                <w:sz w:val="21"/>
              </w:rPr>
              <w:t xml:space="preserve">年，国土空间开发强度控制在 </w:t>
            </w:r>
            <w:r>
              <w:rPr>
                <w:rFonts w:ascii="Times New Roman" w:eastAsia="Times New Roman"/>
                <w:sz w:val="21"/>
              </w:rPr>
              <w:t>4.2%</w:t>
            </w:r>
            <w:r>
              <w:rPr>
                <w:sz w:val="21"/>
              </w:rPr>
              <w:t>以内</w:t>
            </w:r>
          </w:p>
        </w:tc>
        <w:tc>
          <w:tcPr>
            <w:tcW w:w="5044" w:type="dxa"/>
          </w:tcPr>
          <w:p>
            <w:pPr>
              <w:pStyle w:val="12"/>
              <w:spacing w:before="3"/>
              <w:rPr>
                <w:b/>
                <w:sz w:val="17"/>
              </w:rPr>
            </w:pPr>
          </w:p>
          <w:p>
            <w:pPr>
              <w:pStyle w:val="12"/>
              <w:spacing w:before="1"/>
              <w:ind w:left="105"/>
              <w:rPr>
                <w:sz w:val="21"/>
              </w:rPr>
            </w:pPr>
            <w:r>
              <w:rPr>
                <w:spacing w:val="-3"/>
                <w:sz w:val="21"/>
              </w:rPr>
              <w:t>《黔南州土地利用总体规划</w:t>
            </w:r>
            <w:r>
              <w:rPr>
                <w:sz w:val="21"/>
              </w:rPr>
              <w:t>（</w:t>
            </w:r>
            <w:r>
              <w:rPr>
                <w:rFonts w:ascii="Times New Roman" w:eastAsia="Times New Roman"/>
                <w:sz w:val="21"/>
              </w:rPr>
              <w:t xml:space="preserve">2013-2020 </w:t>
            </w:r>
            <w:r>
              <w:rPr>
                <w:spacing w:val="-3"/>
                <w:sz w:val="21"/>
              </w:rPr>
              <w:t>年</w:t>
            </w:r>
            <w:r>
              <w:rPr>
                <w:spacing w:val="-106"/>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38" w:type="dxa"/>
            <w:vMerge w:val="continue"/>
            <w:tcBorders>
              <w:top w:val="nil"/>
            </w:tcBorders>
          </w:tcPr>
          <w:p>
            <w:pPr>
              <w:rPr>
                <w:sz w:val="2"/>
                <w:szCs w:val="2"/>
              </w:rPr>
            </w:pPr>
          </w:p>
        </w:tc>
        <w:tc>
          <w:tcPr>
            <w:tcW w:w="1714" w:type="dxa"/>
          </w:tcPr>
          <w:p>
            <w:pPr>
              <w:pStyle w:val="12"/>
              <w:spacing w:before="135"/>
              <w:ind w:left="107"/>
              <w:rPr>
                <w:sz w:val="21"/>
              </w:rPr>
            </w:pPr>
            <w:r>
              <w:rPr>
                <w:sz w:val="21"/>
              </w:rPr>
              <w:t>磷矿资源</w:t>
            </w:r>
          </w:p>
        </w:tc>
        <w:tc>
          <w:tcPr>
            <w:tcW w:w="716" w:type="dxa"/>
          </w:tcPr>
          <w:p>
            <w:pPr>
              <w:pStyle w:val="12"/>
              <w:spacing w:before="149"/>
              <w:ind w:left="126" w:right="118"/>
              <w:jc w:val="center"/>
              <w:rPr>
                <w:rFonts w:ascii="Times New Roman"/>
                <w:sz w:val="21"/>
              </w:rPr>
            </w:pPr>
            <w:r>
              <w:rPr>
                <w:rFonts w:ascii="Times New Roman"/>
                <w:sz w:val="21"/>
              </w:rPr>
              <w:t>49</w:t>
            </w:r>
          </w:p>
        </w:tc>
        <w:tc>
          <w:tcPr>
            <w:tcW w:w="12334" w:type="dxa"/>
          </w:tcPr>
          <w:p>
            <w:pPr>
              <w:pStyle w:val="12"/>
              <w:spacing w:before="38" w:line="213" w:lineRule="auto"/>
              <w:ind w:left="106" w:right="39"/>
              <w:rPr>
                <w:sz w:val="21"/>
              </w:rPr>
            </w:pPr>
            <w:r>
              <w:rPr>
                <w:sz w:val="21"/>
              </w:rPr>
              <w:t xml:space="preserve">磷化工产业：从 </w:t>
            </w:r>
            <w:r>
              <w:rPr>
                <w:rFonts w:ascii="Times New Roman" w:hAnsi="Times New Roman" w:eastAsia="Times New Roman"/>
                <w:sz w:val="21"/>
              </w:rPr>
              <w:t xml:space="preserve">2018 </w:t>
            </w:r>
            <w:r>
              <w:rPr>
                <w:sz w:val="21"/>
              </w:rPr>
              <w:t>年起，全面实施磷石膏</w:t>
            </w:r>
            <w:r>
              <w:rPr>
                <w:rFonts w:ascii="Times New Roman" w:hAnsi="Times New Roman" w:eastAsia="Times New Roman"/>
                <w:sz w:val="21"/>
              </w:rPr>
              <w:t>“</w:t>
            </w:r>
            <w:r>
              <w:rPr>
                <w:sz w:val="21"/>
              </w:rPr>
              <w:t>以用定产</w:t>
            </w:r>
            <w:r>
              <w:rPr>
                <w:rFonts w:ascii="Times New Roman" w:hAnsi="Times New Roman" w:eastAsia="Times New Roman"/>
                <w:sz w:val="21"/>
              </w:rPr>
              <w:t>”</w:t>
            </w:r>
            <w:r>
              <w:rPr>
                <w:sz w:val="21"/>
              </w:rPr>
              <w:t>，实现磷石膏产消平衡，新增堆存量为零。</w:t>
            </w:r>
            <w:r>
              <w:rPr>
                <w:rFonts w:ascii="Times New Roman" w:hAnsi="Times New Roman" w:eastAsia="Times New Roman"/>
                <w:sz w:val="21"/>
              </w:rPr>
              <w:t xml:space="preserve">2019 </w:t>
            </w:r>
            <w:r>
              <w:rPr>
                <w:sz w:val="21"/>
              </w:rPr>
              <w:t xml:space="preserve">年，实现磷石膏消大于产， 且每年消纳磷石膏按照不低于 </w:t>
            </w:r>
            <w:r>
              <w:rPr>
                <w:rFonts w:ascii="Times New Roman" w:hAnsi="Times New Roman" w:eastAsia="Times New Roman"/>
                <w:sz w:val="21"/>
              </w:rPr>
              <w:t>10%</w:t>
            </w:r>
            <w:r>
              <w:rPr>
                <w:sz w:val="21"/>
              </w:rPr>
              <w:t>的增速递增。</w:t>
            </w:r>
          </w:p>
        </w:tc>
        <w:tc>
          <w:tcPr>
            <w:tcW w:w="5044" w:type="dxa"/>
          </w:tcPr>
          <w:p>
            <w:pPr>
              <w:pStyle w:val="12"/>
              <w:spacing w:before="38" w:line="213" w:lineRule="auto"/>
              <w:ind w:left="105" w:right="97"/>
              <w:rPr>
                <w:sz w:val="21"/>
              </w:rPr>
            </w:pPr>
            <w:r>
              <w:rPr>
                <w:sz w:val="21"/>
              </w:rPr>
              <w:t>贵州省经济和信息化委员会关于转发《贵州省磷化工产业转型升级方案》的通知</w:t>
            </w:r>
          </w:p>
        </w:tc>
      </w:tr>
    </w:tbl>
    <w:p>
      <w:pPr>
        <w:spacing w:line="213" w:lineRule="auto"/>
        <w:rPr>
          <w:sz w:val="21"/>
        </w:rPr>
        <w:sectPr>
          <w:pgSz w:w="23760" w:h="16790" w:orient="landscape"/>
          <w:pgMar w:top="1080" w:right="660" w:bottom="1080" w:left="860" w:header="0" w:footer="894" w:gutter="0"/>
          <w:cols w:space="720" w:num="1"/>
        </w:sectPr>
      </w:pPr>
    </w:p>
    <w:p>
      <w:pPr>
        <w:spacing w:before="26"/>
        <w:ind w:left="779"/>
        <w:rPr>
          <w:b/>
          <w:sz w:val="36"/>
        </w:rPr>
      </w:pPr>
      <w:bookmarkStart w:id="7" w:name="_TOC_250000"/>
      <w:bookmarkEnd w:id="7"/>
      <w:r>
        <w:rPr>
          <w:rFonts w:hint="eastAsia"/>
          <w:b/>
          <w:sz w:val="36"/>
          <w:lang w:val="en-US"/>
        </w:rPr>
        <w:t>3</w:t>
      </w:r>
      <w:r>
        <w:rPr>
          <w:b/>
          <w:sz w:val="36"/>
        </w:rPr>
        <w:t xml:space="preserve"> </w:t>
      </w:r>
      <w:r>
        <w:rPr>
          <w:rFonts w:hint="eastAsia"/>
          <w:b/>
          <w:sz w:val="36"/>
        </w:rPr>
        <w:t>罗甸县</w:t>
      </w:r>
      <w:r>
        <w:rPr>
          <w:b/>
          <w:sz w:val="36"/>
        </w:rPr>
        <w:t>管控单元管控要求</w:t>
      </w:r>
    </w:p>
    <w:p>
      <w:pPr>
        <w:pStyle w:val="9"/>
        <w:tabs>
          <w:tab w:val="left" w:pos="861"/>
        </w:tabs>
        <w:ind w:left="0" w:right="195"/>
      </w:pPr>
      <w:r>
        <w:t>表</w:t>
      </w:r>
      <w:r>
        <w:rPr>
          <w:spacing w:val="-60"/>
        </w:rPr>
        <w:t xml:space="preserve"> </w:t>
      </w:r>
      <w:r>
        <w:rPr>
          <w:rFonts w:hint="eastAsia" w:ascii="Times New Roman" w:eastAsia="宋体"/>
          <w:lang w:val="en-US"/>
        </w:rPr>
        <w:t>3</w:t>
      </w:r>
      <w:r>
        <w:rPr>
          <w:rFonts w:ascii="Times New Roman" w:eastAsia="Times New Roman"/>
        </w:rPr>
        <w:t>-</w:t>
      </w:r>
      <w:r>
        <w:rPr>
          <w:rFonts w:hint="eastAsia" w:ascii="Times New Roman" w:eastAsia="宋体"/>
          <w:lang w:val="en-US"/>
        </w:rPr>
        <w:t>1</w:t>
      </w:r>
      <w:r>
        <w:rPr>
          <w:rFonts w:ascii="Times New Roman" w:eastAsia="Times New Roman"/>
        </w:rPr>
        <w:tab/>
      </w:r>
      <w:r>
        <w:t>黔南布依族苗族自治州管控单</w:t>
      </w:r>
      <w:r>
        <w:rPr>
          <w:spacing w:val="4"/>
        </w:rPr>
        <w:t>元</w:t>
      </w:r>
      <w:r>
        <w:t>管控要求表（罗甸县）</w:t>
      </w:r>
    </w:p>
    <w:tbl>
      <w:tblPr>
        <w:tblStyle w:val="3"/>
        <w:tblW w:w="20634"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1473"/>
        <w:gridCol w:w="707"/>
        <w:gridCol w:w="1285"/>
        <w:gridCol w:w="846"/>
        <w:gridCol w:w="1474"/>
        <w:gridCol w:w="3051"/>
        <w:gridCol w:w="3451"/>
        <w:gridCol w:w="2496"/>
        <w:gridCol w:w="3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1896" w:type="dxa"/>
            <w:vMerge w:val="restart"/>
          </w:tcPr>
          <w:p>
            <w:pPr>
              <w:pStyle w:val="12"/>
              <w:spacing w:before="90"/>
              <w:ind w:left="107"/>
              <w:rPr>
                <w:sz w:val="21"/>
              </w:rPr>
            </w:pPr>
            <w:r>
              <w:rPr>
                <w:sz w:val="21"/>
              </w:rPr>
              <w:t>环境管控单元编码</w:t>
            </w:r>
          </w:p>
        </w:tc>
        <w:tc>
          <w:tcPr>
            <w:tcW w:w="1473" w:type="dxa"/>
            <w:vMerge w:val="restart"/>
          </w:tcPr>
          <w:p>
            <w:pPr>
              <w:pStyle w:val="12"/>
              <w:spacing w:line="213" w:lineRule="auto"/>
              <w:ind w:left="420" w:right="195" w:hanging="209"/>
              <w:rPr>
                <w:sz w:val="21"/>
              </w:rPr>
            </w:pPr>
            <w:r>
              <w:rPr>
                <w:sz w:val="21"/>
              </w:rPr>
              <w:t>环境管控单元名称</w:t>
            </w:r>
          </w:p>
        </w:tc>
        <w:tc>
          <w:tcPr>
            <w:tcW w:w="2838" w:type="dxa"/>
            <w:gridSpan w:val="3"/>
          </w:tcPr>
          <w:p>
            <w:pPr>
              <w:pStyle w:val="12"/>
              <w:spacing w:line="222" w:lineRule="exact"/>
              <w:ind w:left="982" w:right="965"/>
              <w:jc w:val="center"/>
              <w:rPr>
                <w:sz w:val="21"/>
              </w:rPr>
            </w:pPr>
            <w:r>
              <w:rPr>
                <w:sz w:val="21"/>
              </w:rPr>
              <w:t>行政区划</w:t>
            </w:r>
          </w:p>
        </w:tc>
        <w:tc>
          <w:tcPr>
            <w:tcW w:w="1474" w:type="dxa"/>
            <w:vMerge w:val="restart"/>
          </w:tcPr>
          <w:p>
            <w:pPr>
              <w:pStyle w:val="12"/>
              <w:spacing w:before="90"/>
              <w:ind w:left="113"/>
              <w:rPr>
                <w:sz w:val="21"/>
              </w:rPr>
            </w:pPr>
            <w:r>
              <w:rPr>
                <w:sz w:val="21"/>
              </w:rPr>
              <w:t>管控单元分类</w:t>
            </w:r>
          </w:p>
        </w:tc>
        <w:tc>
          <w:tcPr>
            <w:tcW w:w="12953" w:type="dxa"/>
            <w:gridSpan w:val="4"/>
          </w:tcPr>
          <w:p>
            <w:pPr>
              <w:pStyle w:val="12"/>
              <w:spacing w:line="222" w:lineRule="exact"/>
              <w:ind w:left="6048" w:right="6014"/>
              <w:jc w:val="center"/>
              <w:rPr>
                <w:sz w:val="21"/>
              </w:rPr>
            </w:pPr>
            <w:r>
              <w:rPr>
                <w:sz w:val="21"/>
              </w:rPr>
              <w:t>管控要求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896" w:type="dxa"/>
            <w:vMerge w:val="continue"/>
            <w:tcBorders>
              <w:top w:val="nil"/>
            </w:tcBorders>
          </w:tcPr>
          <w:p>
            <w:pPr>
              <w:rPr>
                <w:sz w:val="2"/>
                <w:szCs w:val="2"/>
              </w:rPr>
            </w:pPr>
          </w:p>
        </w:tc>
        <w:tc>
          <w:tcPr>
            <w:tcW w:w="1473" w:type="dxa"/>
            <w:vMerge w:val="continue"/>
            <w:tcBorders>
              <w:top w:val="nil"/>
            </w:tcBorders>
          </w:tcPr>
          <w:p>
            <w:pPr>
              <w:rPr>
                <w:sz w:val="2"/>
                <w:szCs w:val="2"/>
              </w:rPr>
            </w:pPr>
          </w:p>
        </w:tc>
        <w:tc>
          <w:tcPr>
            <w:tcW w:w="707" w:type="dxa"/>
          </w:tcPr>
          <w:p>
            <w:pPr>
              <w:pStyle w:val="12"/>
              <w:spacing w:line="220" w:lineRule="exact"/>
              <w:ind w:left="108"/>
              <w:rPr>
                <w:sz w:val="21"/>
              </w:rPr>
            </w:pPr>
            <w:r>
              <w:rPr>
                <w:sz w:val="21"/>
              </w:rPr>
              <w:t>省</w:t>
            </w:r>
          </w:p>
        </w:tc>
        <w:tc>
          <w:tcPr>
            <w:tcW w:w="1285" w:type="dxa"/>
          </w:tcPr>
          <w:p>
            <w:pPr>
              <w:pStyle w:val="12"/>
              <w:spacing w:line="220" w:lineRule="exact"/>
              <w:ind w:left="109"/>
              <w:rPr>
                <w:sz w:val="21"/>
              </w:rPr>
            </w:pPr>
            <w:r>
              <w:rPr>
                <w:sz w:val="21"/>
              </w:rPr>
              <w:t>市</w:t>
            </w:r>
          </w:p>
        </w:tc>
        <w:tc>
          <w:tcPr>
            <w:tcW w:w="846" w:type="dxa"/>
          </w:tcPr>
          <w:p>
            <w:pPr>
              <w:pStyle w:val="12"/>
              <w:spacing w:line="220" w:lineRule="exact"/>
              <w:ind w:left="111"/>
              <w:rPr>
                <w:sz w:val="21"/>
              </w:rPr>
            </w:pPr>
            <w:r>
              <w:rPr>
                <w:sz w:val="21"/>
              </w:rPr>
              <w:t>县</w:t>
            </w:r>
          </w:p>
        </w:tc>
        <w:tc>
          <w:tcPr>
            <w:tcW w:w="1474" w:type="dxa"/>
            <w:vMerge w:val="continue"/>
            <w:tcBorders>
              <w:top w:val="nil"/>
            </w:tcBorders>
          </w:tcPr>
          <w:p>
            <w:pPr>
              <w:rPr>
                <w:sz w:val="2"/>
                <w:szCs w:val="2"/>
              </w:rPr>
            </w:pPr>
          </w:p>
        </w:tc>
        <w:tc>
          <w:tcPr>
            <w:tcW w:w="3051" w:type="dxa"/>
          </w:tcPr>
          <w:p>
            <w:pPr>
              <w:pStyle w:val="12"/>
              <w:spacing w:line="220" w:lineRule="exact"/>
              <w:ind w:left="902"/>
              <w:rPr>
                <w:sz w:val="21"/>
              </w:rPr>
            </w:pPr>
            <w:r>
              <w:rPr>
                <w:sz w:val="21"/>
              </w:rPr>
              <w:t>空间布局约束</w:t>
            </w:r>
          </w:p>
        </w:tc>
        <w:tc>
          <w:tcPr>
            <w:tcW w:w="3451" w:type="dxa"/>
          </w:tcPr>
          <w:p>
            <w:pPr>
              <w:pStyle w:val="12"/>
              <w:spacing w:line="220" w:lineRule="exact"/>
              <w:ind w:left="1000"/>
              <w:rPr>
                <w:sz w:val="21"/>
              </w:rPr>
            </w:pPr>
            <w:r>
              <w:rPr>
                <w:sz w:val="21"/>
              </w:rPr>
              <w:t>污染物排放管控</w:t>
            </w:r>
          </w:p>
        </w:tc>
        <w:tc>
          <w:tcPr>
            <w:tcW w:w="2496" w:type="dxa"/>
          </w:tcPr>
          <w:p>
            <w:pPr>
              <w:pStyle w:val="12"/>
              <w:spacing w:line="220" w:lineRule="exact"/>
              <w:ind w:left="630"/>
              <w:rPr>
                <w:sz w:val="21"/>
              </w:rPr>
            </w:pPr>
            <w:r>
              <w:rPr>
                <w:sz w:val="21"/>
              </w:rPr>
              <w:t>环境风险防控</w:t>
            </w:r>
          </w:p>
        </w:tc>
        <w:tc>
          <w:tcPr>
            <w:tcW w:w="3955" w:type="dxa"/>
          </w:tcPr>
          <w:p>
            <w:pPr>
              <w:pStyle w:val="12"/>
              <w:spacing w:line="220" w:lineRule="exact"/>
              <w:ind w:left="1152"/>
              <w:rPr>
                <w:sz w:val="21"/>
              </w:rPr>
            </w:pPr>
            <w:r>
              <w:rPr>
                <w:sz w:val="21"/>
              </w:rPr>
              <w:t>资源开发效率要求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896" w:type="dxa"/>
          </w:tcPr>
          <w:p>
            <w:pPr>
              <w:pStyle w:val="12"/>
              <w:spacing w:before="7"/>
              <w:rPr>
                <w:b/>
                <w:sz w:val="25"/>
              </w:rPr>
            </w:pPr>
          </w:p>
          <w:p>
            <w:pPr>
              <w:pStyle w:val="12"/>
              <w:rPr>
                <w:sz w:val="21"/>
              </w:rPr>
            </w:pPr>
            <w:r>
              <w:rPr>
                <w:sz w:val="21"/>
              </w:rPr>
              <w:t>ZH52272810001</w:t>
            </w:r>
          </w:p>
        </w:tc>
        <w:tc>
          <w:tcPr>
            <w:tcW w:w="1473" w:type="dxa"/>
          </w:tcPr>
          <w:p>
            <w:pPr>
              <w:pStyle w:val="12"/>
              <w:spacing w:line="213" w:lineRule="auto"/>
              <w:jc w:val="both"/>
              <w:rPr>
                <w:sz w:val="21"/>
              </w:rPr>
            </w:pPr>
            <w:r>
              <w:rPr>
                <w:sz w:val="21"/>
              </w:rPr>
              <w:t>罗甸翠滩 省级森林公 园优先保护 单元</w:t>
            </w:r>
          </w:p>
        </w:tc>
        <w:tc>
          <w:tcPr>
            <w:tcW w:w="707" w:type="dxa"/>
          </w:tcPr>
          <w:p>
            <w:pPr>
              <w:pStyle w:val="12"/>
              <w:spacing w:before="12"/>
              <w:rPr>
                <w:b/>
                <w:sz w:val="17"/>
              </w:rPr>
            </w:pPr>
          </w:p>
          <w:p>
            <w:pPr>
              <w:pStyle w:val="12"/>
              <w:spacing w:line="213" w:lineRule="auto"/>
              <w:rPr>
                <w:sz w:val="21"/>
              </w:rPr>
            </w:pPr>
            <w:r>
              <w:rPr>
                <w:sz w:val="21"/>
              </w:rPr>
              <w:t>贵州省</w:t>
            </w:r>
          </w:p>
        </w:tc>
        <w:tc>
          <w:tcPr>
            <w:tcW w:w="1285" w:type="dxa"/>
          </w:tcPr>
          <w:p>
            <w:pPr>
              <w:pStyle w:val="12"/>
              <w:spacing w:before="12"/>
              <w:rPr>
                <w:b/>
                <w:sz w:val="17"/>
              </w:rPr>
            </w:pPr>
          </w:p>
          <w:p>
            <w:pPr>
              <w:pStyle w:val="12"/>
              <w:spacing w:line="213" w:lineRule="auto"/>
              <w:rPr>
                <w:sz w:val="21"/>
              </w:rPr>
            </w:pPr>
            <w:r>
              <w:rPr>
                <w:sz w:val="21"/>
              </w:rPr>
              <w:t>黔南布依族苗族自治州</w:t>
            </w:r>
          </w:p>
        </w:tc>
        <w:tc>
          <w:tcPr>
            <w:tcW w:w="846" w:type="dxa"/>
          </w:tcPr>
          <w:p>
            <w:pPr>
              <w:pStyle w:val="12"/>
              <w:spacing w:before="7"/>
              <w:rPr>
                <w:b/>
                <w:sz w:val="25"/>
              </w:rPr>
            </w:pPr>
          </w:p>
          <w:p>
            <w:pPr>
              <w:pStyle w:val="12"/>
              <w:rPr>
                <w:sz w:val="21"/>
              </w:rPr>
            </w:pPr>
            <w:r>
              <w:rPr>
                <w:sz w:val="21"/>
              </w:rPr>
              <w:t>罗甸县</w:t>
            </w:r>
          </w:p>
        </w:tc>
        <w:tc>
          <w:tcPr>
            <w:tcW w:w="1474" w:type="dxa"/>
          </w:tcPr>
          <w:p>
            <w:pPr>
              <w:pStyle w:val="12"/>
              <w:spacing w:before="7"/>
              <w:rPr>
                <w:b/>
                <w:sz w:val="25"/>
              </w:rPr>
            </w:pPr>
          </w:p>
          <w:p>
            <w:pPr>
              <w:pStyle w:val="12"/>
              <w:jc w:val="center"/>
              <w:rPr>
                <w:sz w:val="21"/>
              </w:rPr>
            </w:pPr>
            <w:r>
              <w:rPr>
                <w:sz w:val="21"/>
              </w:rPr>
              <w:t>优先保护单元</w:t>
            </w:r>
          </w:p>
        </w:tc>
        <w:tc>
          <w:tcPr>
            <w:tcW w:w="3051" w:type="dxa"/>
          </w:tcPr>
          <w:p>
            <w:pPr>
              <w:pStyle w:val="12"/>
              <w:spacing w:before="110" w:line="213" w:lineRule="auto"/>
              <w:jc w:val="both"/>
              <w:rPr>
                <w:sz w:val="21"/>
              </w:rPr>
            </w:pPr>
            <w:r>
              <w:rPr>
                <w:sz w:val="21"/>
              </w:rPr>
              <w:t>按照贵州省省级及黔南州州级生态空间普适性管控要求中森林公园相关要求执行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896" w:type="dxa"/>
          </w:tcPr>
          <w:p>
            <w:pPr>
              <w:pStyle w:val="12"/>
              <w:spacing w:before="7"/>
              <w:rPr>
                <w:b/>
                <w:sz w:val="25"/>
              </w:rPr>
            </w:pPr>
          </w:p>
          <w:p>
            <w:pPr>
              <w:pStyle w:val="12"/>
              <w:rPr>
                <w:sz w:val="21"/>
              </w:rPr>
            </w:pPr>
            <w:r>
              <w:rPr>
                <w:sz w:val="21"/>
              </w:rPr>
              <w:t>ZH52272810002</w:t>
            </w:r>
          </w:p>
        </w:tc>
        <w:tc>
          <w:tcPr>
            <w:tcW w:w="1473" w:type="dxa"/>
          </w:tcPr>
          <w:p>
            <w:pPr>
              <w:pStyle w:val="12"/>
              <w:spacing w:line="213" w:lineRule="auto"/>
              <w:jc w:val="both"/>
              <w:rPr>
                <w:sz w:val="21"/>
              </w:rPr>
            </w:pPr>
            <w:r>
              <w:rPr>
                <w:sz w:val="21"/>
              </w:rPr>
              <w:t>罗甸大小 井风景名胜 区优先保护 单元</w:t>
            </w:r>
          </w:p>
        </w:tc>
        <w:tc>
          <w:tcPr>
            <w:tcW w:w="707" w:type="dxa"/>
          </w:tcPr>
          <w:p>
            <w:pPr>
              <w:pStyle w:val="12"/>
              <w:spacing w:before="12"/>
              <w:rPr>
                <w:b/>
                <w:sz w:val="17"/>
              </w:rPr>
            </w:pPr>
          </w:p>
          <w:p>
            <w:pPr>
              <w:pStyle w:val="12"/>
              <w:spacing w:line="213" w:lineRule="auto"/>
              <w:rPr>
                <w:sz w:val="21"/>
              </w:rPr>
            </w:pPr>
            <w:r>
              <w:rPr>
                <w:sz w:val="21"/>
              </w:rPr>
              <w:t>贵 州省</w:t>
            </w:r>
          </w:p>
        </w:tc>
        <w:tc>
          <w:tcPr>
            <w:tcW w:w="1285" w:type="dxa"/>
          </w:tcPr>
          <w:p>
            <w:pPr>
              <w:pStyle w:val="12"/>
              <w:spacing w:before="12"/>
              <w:rPr>
                <w:b/>
                <w:sz w:val="17"/>
              </w:rPr>
            </w:pPr>
          </w:p>
          <w:p>
            <w:pPr>
              <w:pStyle w:val="12"/>
              <w:spacing w:line="213" w:lineRule="auto"/>
              <w:rPr>
                <w:sz w:val="21"/>
              </w:rPr>
            </w:pPr>
            <w:r>
              <w:rPr>
                <w:sz w:val="21"/>
              </w:rPr>
              <w:t>黔南布依族苗族自治州</w:t>
            </w:r>
          </w:p>
        </w:tc>
        <w:tc>
          <w:tcPr>
            <w:tcW w:w="846" w:type="dxa"/>
          </w:tcPr>
          <w:p>
            <w:pPr>
              <w:pStyle w:val="12"/>
              <w:spacing w:before="7"/>
              <w:rPr>
                <w:b/>
                <w:sz w:val="25"/>
              </w:rPr>
            </w:pPr>
          </w:p>
          <w:p>
            <w:pPr>
              <w:pStyle w:val="12"/>
              <w:rPr>
                <w:sz w:val="21"/>
              </w:rPr>
            </w:pPr>
            <w:r>
              <w:rPr>
                <w:sz w:val="21"/>
              </w:rPr>
              <w:t>罗甸县</w:t>
            </w:r>
          </w:p>
        </w:tc>
        <w:tc>
          <w:tcPr>
            <w:tcW w:w="1474" w:type="dxa"/>
          </w:tcPr>
          <w:p>
            <w:pPr>
              <w:pStyle w:val="12"/>
              <w:spacing w:before="7"/>
              <w:rPr>
                <w:b/>
                <w:sz w:val="25"/>
              </w:rPr>
            </w:pPr>
          </w:p>
          <w:p>
            <w:pPr>
              <w:pStyle w:val="12"/>
              <w:jc w:val="center"/>
              <w:rPr>
                <w:sz w:val="21"/>
              </w:rPr>
            </w:pPr>
            <w:r>
              <w:rPr>
                <w:sz w:val="21"/>
              </w:rPr>
              <w:t>优先保护单元</w:t>
            </w:r>
          </w:p>
        </w:tc>
        <w:tc>
          <w:tcPr>
            <w:tcW w:w="3051" w:type="dxa"/>
          </w:tcPr>
          <w:p>
            <w:pPr>
              <w:pStyle w:val="12"/>
              <w:spacing w:before="110" w:line="213" w:lineRule="auto"/>
              <w:jc w:val="both"/>
              <w:rPr>
                <w:sz w:val="21"/>
              </w:rPr>
            </w:pPr>
            <w:r>
              <w:rPr>
                <w:sz w:val="21"/>
              </w:rPr>
              <w:t>按照贵州省省级及黔南州州级生态空间普适性管控要求中风景名胜区相关要求执行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896" w:type="dxa"/>
          </w:tcPr>
          <w:p>
            <w:pPr>
              <w:pStyle w:val="12"/>
              <w:spacing w:before="7"/>
              <w:rPr>
                <w:b/>
                <w:sz w:val="25"/>
              </w:rPr>
            </w:pPr>
          </w:p>
          <w:p>
            <w:pPr>
              <w:pStyle w:val="12"/>
              <w:rPr>
                <w:sz w:val="21"/>
              </w:rPr>
            </w:pPr>
            <w:r>
              <w:rPr>
                <w:sz w:val="21"/>
              </w:rPr>
              <w:t>ZH52272810003</w:t>
            </w:r>
          </w:p>
        </w:tc>
        <w:tc>
          <w:tcPr>
            <w:tcW w:w="1473" w:type="dxa"/>
          </w:tcPr>
          <w:p>
            <w:pPr>
              <w:pStyle w:val="12"/>
              <w:spacing w:line="213" w:lineRule="auto"/>
              <w:jc w:val="both"/>
              <w:rPr>
                <w:sz w:val="21"/>
              </w:rPr>
            </w:pPr>
            <w:r>
              <w:rPr>
                <w:sz w:val="21"/>
              </w:rPr>
              <w:t>罗甸县饮 用水饮用水 源地优先保 护单元</w:t>
            </w:r>
          </w:p>
        </w:tc>
        <w:tc>
          <w:tcPr>
            <w:tcW w:w="707" w:type="dxa"/>
          </w:tcPr>
          <w:p>
            <w:pPr>
              <w:pStyle w:val="12"/>
              <w:spacing w:before="12"/>
              <w:rPr>
                <w:b/>
                <w:sz w:val="17"/>
              </w:rPr>
            </w:pPr>
          </w:p>
          <w:p>
            <w:pPr>
              <w:pStyle w:val="12"/>
              <w:spacing w:line="213" w:lineRule="auto"/>
              <w:rPr>
                <w:sz w:val="21"/>
              </w:rPr>
            </w:pPr>
            <w:r>
              <w:rPr>
                <w:sz w:val="21"/>
              </w:rPr>
              <w:t>贵州省</w:t>
            </w:r>
          </w:p>
        </w:tc>
        <w:tc>
          <w:tcPr>
            <w:tcW w:w="1285" w:type="dxa"/>
          </w:tcPr>
          <w:p>
            <w:pPr>
              <w:pStyle w:val="12"/>
              <w:spacing w:before="12"/>
              <w:rPr>
                <w:b/>
                <w:sz w:val="17"/>
              </w:rPr>
            </w:pPr>
          </w:p>
          <w:p>
            <w:pPr>
              <w:pStyle w:val="12"/>
              <w:spacing w:line="213" w:lineRule="auto"/>
              <w:rPr>
                <w:sz w:val="21"/>
              </w:rPr>
            </w:pPr>
            <w:r>
              <w:rPr>
                <w:sz w:val="21"/>
              </w:rPr>
              <w:t>黔南布依族苗族自治州</w:t>
            </w:r>
          </w:p>
        </w:tc>
        <w:tc>
          <w:tcPr>
            <w:tcW w:w="846" w:type="dxa"/>
          </w:tcPr>
          <w:p>
            <w:pPr>
              <w:pStyle w:val="12"/>
              <w:spacing w:before="7"/>
              <w:rPr>
                <w:b/>
                <w:sz w:val="25"/>
              </w:rPr>
            </w:pPr>
          </w:p>
          <w:p>
            <w:pPr>
              <w:pStyle w:val="12"/>
              <w:rPr>
                <w:sz w:val="21"/>
              </w:rPr>
            </w:pPr>
            <w:r>
              <w:rPr>
                <w:sz w:val="21"/>
              </w:rPr>
              <w:t>罗甸县</w:t>
            </w:r>
          </w:p>
        </w:tc>
        <w:tc>
          <w:tcPr>
            <w:tcW w:w="1474" w:type="dxa"/>
          </w:tcPr>
          <w:p>
            <w:pPr>
              <w:pStyle w:val="12"/>
              <w:spacing w:before="7"/>
              <w:rPr>
                <w:b/>
                <w:sz w:val="25"/>
              </w:rPr>
            </w:pPr>
          </w:p>
          <w:p>
            <w:pPr>
              <w:pStyle w:val="12"/>
              <w:jc w:val="center"/>
              <w:rPr>
                <w:sz w:val="21"/>
              </w:rPr>
            </w:pPr>
            <w:r>
              <w:rPr>
                <w:sz w:val="21"/>
              </w:rPr>
              <w:t>优先保护单元</w:t>
            </w:r>
          </w:p>
        </w:tc>
        <w:tc>
          <w:tcPr>
            <w:tcW w:w="3051" w:type="dxa"/>
          </w:tcPr>
          <w:p>
            <w:pPr>
              <w:pStyle w:val="12"/>
              <w:spacing w:before="110" w:line="213" w:lineRule="auto"/>
              <w:jc w:val="both"/>
              <w:rPr>
                <w:sz w:val="21"/>
              </w:rPr>
            </w:pPr>
            <w:r>
              <w:rPr>
                <w:sz w:val="21"/>
              </w:rPr>
              <w:t>按照贵州省省级及黔南州州级生态空间普适性管控要求中饮用水源保护区相关要求执行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96" w:type="dxa"/>
          </w:tcPr>
          <w:p>
            <w:pPr>
              <w:pStyle w:val="12"/>
              <w:spacing w:before="3"/>
              <w:rPr>
                <w:b/>
                <w:sz w:val="16"/>
              </w:rPr>
            </w:pPr>
          </w:p>
          <w:p>
            <w:pPr>
              <w:pStyle w:val="12"/>
              <w:rPr>
                <w:sz w:val="21"/>
              </w:rPr>
            </w:pPr>
            <w:r>
              <w:rPr>
                <w:sz w:val="21"/>
              </w:rPr>
              <w:t>ZH52272810004</w:t>
            </w:r>
          </w:p>
        </w:tc>
        <w:tc>
          <w:tcPr>
            <w:tcW w:w="1473" w:type="dxa"/>
          </w:tcPr>
          <w:p>
            <w:pPr>
              <w:pStyle w:val="12"/>
              <w:spacing w:line="213" w:lineRule="auto"/>
              <w:jc w:val="both"/>
              <w:rPr>
                <w:sz w:val="21"/>
              </w:rPr>
            </w:pPr>
            <w:r>
              <w:rPr>
                <w:sz w:val="21"/>
              </w:rPr>
              <w:t>罗羊县级 自然保护区 优先保护单元</w:t>
            </w:r>
          </w:p>
        </w:tc>
        <w:tc>
          <w:tcPr>
            <w:tcW w:w="707" w:type="dxa"/>
          </w:tcPr>
          <w:p>
            <w:pPr>
              <w:pStyle w:val="12"/>
              <w:spacing w:before="111" w:line="213" w:lineRule="auto"/>
              <w:rPr>
                <w:sz w:val="21"/>
              </w:rPr>
            </w:pPr>
            <w:r>
              <w:rPr>
                <w:sz w:val="21"/>
              </w:rPr>
              <w:t>贵州省</w:t>
            </w:r>
          </w:p>
        </w:tc>
        <w:tc>
          <w:tcPr>
            <w:tcW w:w="1285" w:type="dxa"/>
          </w:tcPr>
          <w:p>
            <w:pPr>
              <w:pStyle w:val="12"/>
              <w:spacing w:before="111" w:line="213" w:lineRule="auto"/>
              <w:rPr>
                <w:sz w:val="21"/>
              </w:rPr>
            </w:pPr>
            <w:r>
              <w:rPr>
                <w:sz w:val="21"/>
              </w:rPr>
              <w:t>黔南布依族苗族自治州</w:t>
            </w:r>
          </w:p>
        </w:tc>
        <w:tc>
          <w:tcPr>
            <w:tcW w:w="846" w:type="dxa"/>
          </w:tcPr>
          <w:p>
            <w:pPr>
              <w:pStyle w:val="12"/>
              <w:spacing w:before="3"/>
              <w:rPr>
                <w:b/>
                <w:sz w:val="16"/>
              </w:rPr>
            </w:pPr>
          </w:p>
          <w:p>
            <w:pPr>
              <w:pStyle w:val="12"/>
              <w:rPr>
                <w:sz w:val="21"/>
              </w:rPr>
            </w:pPr>
            <w:r>
              <w:rPr>
                <w:sz w:val="21"/>
              </w:rPr>
              <w:t>罗甸县</w:t>
            </w:r>
          </w:p>
        </w:tc>
        <w:tc>
          <w:tcPr>
            <w:tcW w:w="1474" w:type="dxa"/>
          </w:tcPr>
          <w:p>
            <w:pPr>
              <w:pStyle w:val="12"/>
              <w:spacing w:before="3"/>
              <w:rPr>
                <w:b/>
                <w:sz w:val="16"/>
              </w:rPr>
            </w:pPr>
          </w:p>
          <w:p>
            <w:pPr>
              <w:pStyle w:val="12"/>
              <w:jc w:val="center"/>
              <w:rPr>
                <w:sz w:val="21"/>
              </w:rPr>
            </w:pPr>
            <w:r>
              <w:rPr>
                <w:sz w:val="21"/>
              </w:rPr>
              <w:t>优先保护单元</w:t>
            </w:r>
          </w:p>
        </w:tc>
        <w:tc>
          <w:tcPr>
            <w:tcW w:w="3051" w:type="dxa"/>
          </w:tcPr>
          <w:p>
            <w:pPr>
              <w:pStyle w:val="12"/>
              <w:spacing w:line="213" w:lineRule="auto"/>
              <w:jc w:val="both"/>
              <w:rPr>
                <w:sz w:val="21"/>
              </w:rPr>
            </w:pPr>
            <w:r>
              <w:rPr>
                <w:sz w:val="21"/>
              </w:rPr>
              <w:t>按照贵州省省级及黔南州州级生态空间普适性管控要求中自然保护区相关要求执行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1896" w:type="dxa"/>
          </w:tcPr>
          <w:p>
            <w:pPr>
              <w:pStyle w:val="12"/>
              <w:rPr>
                <w:b/>
                <w:sz w:val="20"/>
              </w:rPr>
            </w:pPr>
          </w:p>
          <w:p>
            <w:pPr>
              <w:pStyle w:val="12"/>
              <w:spacing w:before="1"/>
              <w:rPr>
                <w:b/>
                <w:sz w:val="15"/>
              </w:rPr>
            </w:pPr>
          </w:p>
          <w:p>
            <w:pPr>
              <w:pStyle w:val="12"/>
              <w:rPr>
                <w:sz w:val="21"/>
              </w:rPr>
            </w:pPr>
            <w:r>
              <w:rPr>
                <w:sz w:val="21"/>
              </w:rPr>
              <w:t>ZH52272810005</w:t>
            </w:r>
          </w:p>
        </w:tc>
        <w:tc>
          <w:tcPr>
            <w:tcW w:w="1473" w:type="dxa"/>
          </w:tcPr>
          <w:p>
            <w:pPr>
              <w:pStyle w:val="12"/>
              <w:spacing w:line="213" w:lineRule="auto"/>
              <w:jc w:val="both"/>
              <w:rPr>
                <w:sz w:val="21"/>
              </w:rPr>
            </w:pPr>
            <w:r>
              <w:rPr>
                <w:sz w:val="21"/>
              </w:rPr>
              <w:t>蒙江坝王 河特有鱼类 国家级水产 种质资源保 护区</w:t>
            </w:r>
          </w:p>
        </w:tc>
        <w:tc>
          <w:tcPr>
            <w:tcW w:w="707" w:type="dxa"/>
          </w:tcPr>
          <w:p>
            <w:pPr>
              <w:pStyle w:val="12"/>
              <w:spacing w:before="7"/>
              <w:rPr>
                <w:b/>
                <w:sz w:val="27"/>
              </w:rPr>
            </w:pPr>
          </w:p>
          <w:p>
            <w:pPr>
              <w:pStyle w:val="12"/>
              <w:spacing w:line="213" w:lineRule="auto"/>
              <w:rPr>
                <w:sz w:val="21"/>
              </w:rPr>
            </w:pPr>
            <w:r>
              <w:rPr>
                <w:sz w:val="21"/>
              </w:rPr>
              <w:t>贵州省</w:t>
            </w:r>
          </w:p>
        </w:tc>
        <w:tc>
          <w:tcPr>
            <w:tcW w:w="1285" w:type="dxa"/>
          </w:tcPr>
          <w:p>
            <w:pPr>
              <w:pStyle w:val="12"/>
              <w:spacing w:before="7"/>
              <w:rPr>
                <w:b/>
                <w:sz w:val="27"/>
              </w:rPr>
            </w:pPr>
          </w:p>
          <w:p>
            <w:pPr>
              <w:pStyle w:val="12"/>
              <w:spacing w:line="213" w:lineRule="auto"/>
              <w:rPr>
                <w:sz w:val="21"/>
              </w:rPr>
            </w:pPr>
            <w:r>
              <w:rPr>
                <w:sz w:val="21"/>
              </w:rPr>
              <w:t>黔南布依族苗族自治州</w:t>
            </w:r>
          </w:p>
        </w:tc>
        <w:tc>
          <w:tcPr>
            <w:tcW w:w="846" w:type="dxa"/>
          </w:tcPr>
          <w:p>
            <w:pPr>
              <w:pStyle w:val="12"/>
              <w:rPr>
                <w:b/>
                <w:sz w:val="20"/>
              </w:rPr>
            </w:pPr>
          </w:p>
          <w:p>
            <w:pPr>
              <w:pStyle w:val="12"/>
              <w:spacing w:before="1"/>
              <w:rPr>
                <w:b/>
                <w:sz w:val="15"/>
              </w:rPr>
            </w:pPr>
          </w:p>
          <w:p>
            <w:pPr>
              <w:pStyle w:val="12"/>
              <w:rPr>
                <w:sz w:val="21"/>
              </w:rPr>
            </w:pPr>
            <w:r>
              <w:rPr>
                <w:sz w:val="21"/>
              </w:rPr>
              <w:t>罗甸县</w:t>
            </w:r>
          </w:p>
        </w:tc>
        <w:tc>
          <w:tcPr>
            <w:tcW w:w="1474" w:type="dxa"/>
          </w:tcPr>
          <w:p>
            <w:pPr>
              <w:pStyle w:val="12"/>
              <w:rPr>
                <w:b/>
                <w:sz w:val="20"/>
              </w:rPr>
            </w:pPr>
          </w:p>
          <w:p>
            <w:pPr>
              <w:pStyle w:val="12"/>
              <w:spacing w:before="1"/>
              <w:rPr>
                <w:b/>
                <w:sz w:val="15"/>
              </w:rPr>
            </w:pPr>
          </w:p>
          <w:p>
            <w:pPr>
              <w:pStyle w:val="12"/>
              <w:jc w:val="center"/>
              <w:rPr>
                <w:sz w:val="21"/>
              </w:rPr>
            </w:pPr>
            <w:r>
              <w:rPr>
                <w:sz w:val="21"/>
              </w:rPr>
              <w:t>优先保护单元</w:t>
            </w:r>
          </w:p>
        </w:tc>
        <w:tc>
          <w:tcPr>
            <w:tcW w:w="3051" w:type="dxa"/>
          </w:tcPr>
          <w:p>
            <w:pPr>
              <w:pStyle w:val="12"/>
              <w:spacing w:before="113" w:line="213" w:lineRule="auto"/>
              <w:jc w:val="both"/>
              <w:rPr>
                <w:sz w:val="21"/>
              </w:rPr>
            </w:pPr>
            <w:r>
              <w:rPr>
                <w:sz w:val="21"/>
              </w:rPr>
              <w:t>按照贵州省省级及黔南州州级生态空间普适性管控要求中水产种植资源保护区相关要求执行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1896" w:type="dxa"/>
          </w:tcPr>
          <w:p>
            <w:pPr>
              <w:pStyle w:val="12"/>
              <w:spacing w:before="2"/>
              <w:rPr>
                <w:b/>
                <w:sz w:val="16"/>
              </w:rPr>
            </w:pPr>
          </w:p>
          <w:p>
            <w:pPr>
              <w:pStyle w:val="12"/>
              <w:rPr>
                <w:sz w:val="21"/>
              </w:rPr>
            </w:pPr>
            <w:r>
              <w:rPr>
                <w:sz w:val="21"/>
              </w:rPr>
              <w:t>ZH52272810006</w:t>
            </w:r>
          </w:p>
        </w:tc>
        <w:tc>
          <w:tcPr>
            <w:tcW w:w="1473" w:type="dxa"/>
          </w:tcPr>
          <w:p>
            <w:pPr>
              <w:pStyle w:val="12"/>
              <w:spacing w:line="213" w:lineRule="auto"/>
              <w:jc w:val="both"/>
              <w:rPr>
                <w:sz w:val="21"/>
              </w:rPr>
            </w:pPr>
            <w:r>
              <w:rPr>
                <w:sz w:val="21"/>
              </w:rPr>
              <w:t>蒙江国家 湿地公园优 先保护单元</w:t>
            </w:r>
          </w:p>
        </w:tc>
        <w:tc>
          <w:tcPr>
            <w:tcW w:w="707" w:type="dxa"/>
          </w:tcPr>
          <w:p>
            <w:pPr>
              <w:pStyle w:val="12"/>
              <w:spacing w:before="110" w:line="213" w:lineRule="auto"/>
              <w:rPr>
                <w:sz w:val="21"/>
              </w:rPr>
            </w:pPr>
            <w:r>
              <w:rPr>
                <w:sz w:val="21"/>
              </w:rPr>
              <w:t>贵州省</w:t>
            </w:r>
          </w:p>
        </w:tc>
        <w:tc>
          <w:tcPr>
            <w:tcW w:w="1285" w:type="dxa"/>
          </w:tcPr>
          <w:p>
            <w:pPr>
              <w:pStyle w:val="12"/>
              <w:spacing w:before="110" w:line="213" w:lineRule="auto"/>
              <w:rPr>
                <w:sz w:val="21"/>
              </w:rPr>
            </w:pPr>
            <w:r>
              <w:rPr>
                <w:sz w:val="21"/>
              </w:rPr>
              <w:t>黔南布依族苗族自治州</w:t>
            </w:r>
          </w:p>
        </w:tc>
        <w:tc>
          <w:tcPr>
            <w:tcW w:w="846" w:type="dxa"/>
          </w:tcPr>
          <w:p>
            <w:pPr>
              <w:pStyle w:val="12"/>
              <w:spacing w:before="2"/>
              <w:rPr>
                <w:b/>
                <w:sz w:val="16"/>
              </w:rPr>
            </w:pPr>
          </w:p>
          <w:p>
            <w:pPr>
              <w:pStyle w:val="12"/>
              <w:rPr>
                <w:sz w:val="21"/>
              </w:rPr>
            </w:pPr>
            <w:r>
              <w:rPr>
                <w:sz w:val="21"/>
              </w:rPr>
              <w:t>罗甸县</w:t>
            </w:r>
          </w:p>
        </w:tc>
        <w:tc>
          <w:tcPr>
            <w:tcW w:w="1474" w:type="dxa"/>
          </w:tcPr>
          <w:p>
            <w:pPr>
              <w:pStyle w:val="12"/>
              <w:spacing w:before="2"/>
              <w:rPr>
                <w:b/>
                <w:sz w:val="16"/>
              </w:rPr>
            </w:pPr>
          </w:p>
          <w:p>
            <w:pPr>
              <w:pStyle w:val="12"/>
              <w:jc w:val="center"/>
              <w:rPr>
                <w:sz w:val="21"/>
              </w:rPr>
            </w:pPr>
            <w:r>
              <w:rPr>
                <w:sz w:val="21"/>
              </w:rPr>
              <w:t>优先保护单元</w:t>
            </w:r>
          </w:p>
        </w:tc>
        <w:tc>
          <w:tcPr>
            <w:tcW w:w="3051" w:type="dxa"/>
          </w:tcPr>
          <w:p>
            <w:pPr>
              <w:pStyle w:val="12"/>
              <w:spacing w:line="213" w:lineRule="auto"/>
              <w:jc w:val="both"/>
              <w:rPr>
                <w:sz w:val="21"/>
              </w:rPr>
            </w:pPr>
            <w:r>
              <w:rPr>
                <w:sz w:val="21"/>
              </w:rPr>
              <w:t>按照贵州省省级及黔南州州级生态空间普适性管控要求中湿地公园相关要求执行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5" w:hRule="atLeast"/>
        </w:trPr>
        <w:tc>
          <w:tcPr>
            <w:tcW w:w="1896" w:type="dxa"/>
          </w:tcPr>
          <w:p>
            <w:pPr>
              <w:pStyle w:val="12"/>
              <w:rPr>
                <w:b/>
                <w:sz w:val="20"/>
              </w:rPr>
            </w:pPr>
          </w:p>
          <w:p>
            <w:pPr>
              <w:pStyle w:val="12"/>
              <w:spacing w:before="12"/>
              <w:rPr>
                <w:b/>
                <w:sz w:val="14"/>
              </w:rPr>
            </w:pPr>
          </w:p>
          <w:p>
            <w:pPr>
              <w:pStyle w:val="12"/>
              <w:rPr>
                <w:sz w:val="21"/>
              </w:rPr>
            </w:pPr>
            <w:r>
              <w:rPr>
                <w:sz w:val="21"/>
              </w:rPr>
              <w:t>ZH52272810007</w:t>
            </w:r>
          </w:p>
        </w:tc>
        <w:tc>
          <w:tcPr>
            <w:tcW w:w="1473" w:type="dxa"/>
          </w:tcPr>
          <w:p>
            <w:pPr>
              <w:pStyle w:val="12"/>
              <w:spacing w:before="4"/>
              <w:rPr>
                <w:b/>
                <w:sz w:val="27"/>
              </w:rPr>
            </w:pPr>
          </w:p>
          <w:p>
            <w:pPr>
              <w:pStyle w:val="12"/>
              <w:spacing w:line="213" w:lineRule="auto"/>
              <w:rPr>
                <w:sz w:val="21"/>
              </w:rPr>
            </w:pPr>
            <w:r>
              <w:rPr>
                <w:sz w:val="21"/>
              </w:rPr>
              <w:t>罗甸县优 先保护单元</w:t>
            </w:r>
          </w:p>
        </w:tc>
        <w:tc>
          <w:tcPr>
            <w:tcW w:w="707" w:type="dxa"/>
          </w:tcPr>
          <w:p>
            <w:pPr>
              <w:pStyle w:val="12"/>
              <w:spacing w:before="4"/>
              <w:rPr>
                <w:b/>
                <w:sz w:val="27"/>
              </w:rPr>
            </w:pPr>
          </w:p>
          <w:p>
            <w:pPr>
              <w:pStyle w:val="12"/>
              <w:spacing w:line="213" w:lineRule="auto"/>
              <w:rPr>
                <w:sz w:val="21"/>
              </w:rPr>
            </w:pPr>
            <w:r>
              <w:rPr>
                <w:sz w:val="21"/>
              </w:rPr>
              <w:t>贵州省</w:t>
            </w:r>
          </w:p>
        </w:tc>
        <w:tc>
          <w:tcPr>
            <w:tcW w:w="1285" w:type="dxa"/>
          </w:tcPr>
          <w:p>
            <w:pPr>
              <w:pStyle w:val="12"/>
              <w:spacing w:before="4"/>
              <w:rPr>
                <w:b/>
                <w:sz w:val="27"/>
              </w:rPr>
            </w:pPr>
          </w:p>
          <w:p>
            <w:pPr>
              <w:pStyle w:val="12"/>
              <w:spacing w:line="213" w:lineRule="auto"/>
              <w:rPr>
                <w:sz w:val="21"/>
              </w:rPr>
            </w:pPr>
            <w:r>
              <w:rPr>
                <w:sz w:val="21"/>
              </w:rPr>
              <w:t>黔南布依族苗族自治州</w:t>
            </w:r>
          </w:p>
        </w:tc>
        <w:tc>
          <w:tcPr>
            <w:tcW w:w="846" w:type="dxa"/>
          </w:tcPr>
          <w:p>
            <w:pPr>
              <w:pStyle w:val="12"/>
              <w:rPr>
                <w:b/>
                <w:sz w:val="20"/>
              </w:rPr>
            </w:pPr>
          </w:p>
          <w:p>
            <w:pPr>
              <w:pStyle w:val="12"/>
              <w:spacing w:before="12"/>
              <w:rPr>
                <w:b/>
                <w:sz w:val="14"/>
              </w:rPr>
            </w:pPr>
          </w:p>
          <w:p>
            <w:pPr>
              <w:pStyle w:val="12"/>
              <w:rPr>
                <w:sz w:val="21"/>
              </w:rPr>
            </w:pPr>
            <w:r>
              <w:rPr>
                <w:sz w:val="21"/>
              </w:rPr>
              <w:t>罗甸县</w:t>
            </w:r>
          </w:p>
        </w:tc>
        <w:tc>
          <w:tcPr>
            <w:tcW w:w="1474" w:type="dxa"/>
          </w:tcPr>
          <w:p>
            <w:pPr>
              <w:pStyle w:val="12"/>
              <w:rPr>
                <w:b/>
                <w:sz w:val="20"/>
              </w:rPr>
            </w:pPr>
          </w:p>
          <w:p>
            <w:pPr>
              <w:pStyle w:val="12"/>
              <w:spacing w:before="12"/>
              <w:rPr>
                <w:b/>
                <w:sz w:val="14"/>
              </w:rPr>
            </w:pPr>
          </w:p>
          <w:p>
            <w:pPr>
              <w:pStyle w:val="12"/>
              <w:jc w:val="center"/>
              <w:rPr>
                <w:sz w:val="21"/>
              </w:rPr>
            </w:pPr>
            <w:r>
              <w:rPr>
                <w:sz w:val="21"/>
              </w:rPr>
              <w:t>优先保护单元</w:t>
            </w:r>
          </w:p>
        </w:tc>
        <w:tc>
          <w:tcPr>
            <w:tcW w:w="3051" w:type="dxa"/>
          </w:tcPr>
          <w:p>
            <w:pPr>
              <w:pStyle w:val="12"/>
              <w:spacing w:line="213" w:lineRule="auto"/>
              <w:rPr>
                <w:sz w:val="21"/>
              </w:rPr>
            </w:pPr>
            <w:r>
              <w:rPr>
                <w:spacing w:val="5"/>
                <w:sz w:val="21"/>
              </w:rPr>
              <w:t>按照贵州省省级及黔南州州级生态空间普适性管控要求中生</w:t>
            </w:r>
            <w:r>
              <w:rPr>
                <w:spacing w:val="-3"/>
                <w:sz w:val="21"/>
              </w:rPr>
              <w:t>态保护红线、评估区、天然林、</w:t>
            </w:r>
            <w:r>
              <w:rPr>
                <w:spacing w:val="-12"/>
                <w:sz w:val="21"/>
              </w:rPr>
              <w:t>公益林、饮用水源保护区相关要求执行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trPr>
        <w:tc>
          <w:tcPr>
            <w:tcW w:w="1896" w:type="dxa"/>
          </w:tcPr>
          <w:p>
            <w:pPr>
              <w:pStyle w:val="12"/>
              <w:spacing w:before="7"/>
              <w:rPr>
                <w:b/>
                <w:sz w:val="25"/>
              </w:rPr>
            </w:pPr>
          </w:p>
          <w:p>
            <w:pPr>
              <w:pStyle w:val="12"/>
              <w:rPr>
                <w:sz w:val="21"/>
              </w:rPr>
            </w:pPr>
            <w:r>
              <w:rPr>
                <w:sz w:val="21"/>
              </w:rPr>
              <w:t>ZH52272810008</w:t>
            </w:r>
          </w:p>
        </w:tc>
        <w:tc>
          <w:tcPr>
            <w:tcW w:w="1473" w:type="dxa"/>
          </w:tcPr>
          <w:p>
            <w:pPr>
              <w:pStyle w:val="12"/>
              <w:spacing w:before="12"/>
              <w:rPr>
                <w:b/>
                <w:sz w:val="17"/>
              </w:rPr>
            </w:pPr>
          </w:p>
          <w:p>
            <w:pPr>
              <w:pStyle w:val="12"/>
              <w:spacing w:line="213" w:lineRule="auto"/>
              <w:rPr>
                <w:sz w:val="21"/>
              </w:rPr>
            </w:pPr>
            <w:r>
              <w:rPr>
                <w:sz w:val="21"/>
              </w:rPr>
              <w:t>罗甸县生 态保护红线</w:t>
            </w:r>
          </w:p>
        </w:tc>
        <w:tc>
          <w:tcPr>
            <w:tcW w:w="707" w:type="dxa"/>
          </w:tcPr>
          <w:p>
            <w:pPr>
              <w:pStyle w:val="12"/>
              <w:spacing w:before="12"/>
              <w:rPr>
                <w:b/>
                <w:sz w:val="17"/>
              </w:rPr>
            </w:pPr>
          </w:p>
          <w:p>
            <w:pPr>
              <w:pStyle w:val="12"/>
              <w:spacing w:line="213" w:lineRule="auto"/>
              <w:rPr>
                <w:sz w:val="21"/>
              </w:rPr>
            </w:pPr>
            <w:r>
              <w:rPr>
                <w:sz w:val="21"/>
              </w:rPr>
              <w:t>贵州省</w:t>
            </w:r>
          </w:p>
        </w:tc>
        <w:tc>
          <w:tcPr>
            <w:tcW w:w="1285" w:type="dxa"/>
          </w:tcPr>
          <w:p>
            <w:pPr>
              <w:pStyle w:val="12"/>
              <w:spacing w:before="12"/>
              <w:rPr>
                <w:b/>
                <w:sz w:val="17"/>
              </w:rPr>
            </w:pPr>
          </w:p>
          <w:p>
            <w:pPr>
              <w:pStyle w:val="12"/>
              <w:spacing w:line="213" w:lineRule="auto"/>
              <w:rPr>
                <w:sz w:val="21"/>
              </w:rPr>
            </w:pPr>
            <w:r>
              <w:rPr>
                <w:sz w:val="21"/>
              </w:rPr>
              <w:t>黔南布依族苗族自治州</w:t>
            </w:r>
          </w:p>
        </w:tc>
        <w:tc>
          <w:tcPr>
            <w:tcW w:w="846" w:type="dxa"/>
          </w:tcPr>
          <w:p>
            <w:pPr>
              <w:pStyle w:val="12"/>
              <w:spacing w:before="7"/>
              <w:rPr>
                <w:b/>
                <w:sz w:val="25"/>
              </w:rPr>
            </w:pPr>
          </w:p>
          <w:p>
            <w:pPr>
              <w:pStyle w:val="12"/>
              <w:rPr>
                <w:sz w:val="21"/>
              </w:rPr>
            </w:pPr>
            <w:r>
              <w:rPr>
                <w:sz w:val="21"/>
              </w:rPr>
              <w:t>罗甸县</w:t>
            </w:r>
          </w:p>
        </w:tc>
        <w:tc>
          <w:tcPr>
            <w:tcW w:w="1474" w:type="dxa"/>
          </w:tcPr>
          <w:p>
            <w:pPr>
              <w:pStyle w:val="12"/>
              <w:spacing w:before="7"/>
              <w:rPr>
                <w:b/>
                <w:sz w:val="25"/>
              </w:rPr>
            </w:pPr>
          </w:p>
          <w:p>
            <w:pPr>
              <w:pStyle w:val="12"/>
              <w:jc w:val="center"/>
              <w:rPr>
                <w:sz w:val="21"/>
              </w:rPr>
            </w:pPr>
            <w:r>
              <w:rPr>
                <w:sz w:val="21"/>
              </w:rPr>
              <w:t>优先保护单元</w:t>
            </w:r>
          </w:p>
        </w:tc>
        <w:tc>
          <w:tcPr>
            <w:tcW w:w="3051" w:type="dxa"/>
          </w:tcPr>
          <w:p>
            <w:pPr>
              <w:pStyle w:val="12"/>
              <w:spacing w:line="213" w:lineRule="auto"/>
              <w:rPr>
                <w:sz w:val="21"/>
              </w:rPr>
            </w:pPr>
            <w:r>
              <w:rPr>
                <w:spacing w:val="5"/>
                <w:sz w:val="21"/>
              </w:rPr>
              <w:t>按照贵州省省级及黔南州州级生态空间普适性管控要求中生</w:t>
            </w:r>
            <w:r>
              <w:rPr>
                <w:spacing w:val="-3"/>
                <w:sz w:val="21"/>
              </w:rPr>
              <w:t>态保护红线、评估区、天然林、公益林相关要求执行</w:t>
            </w:r>
          </w:p>
        </w:tc>
        <w:tc>
          <w:tcPr>
            <w:tcW w:w="3451" w:type="dxa"/>
          </w:tcPr>
          <w:p>
            <w:pPr>
              <w:pStyle w:val="12"/>
              <w:rPr>
                <w:rFonts w:ascii="Times New Roman"/>
                <w:sz w:val="20"/>
              </w:rPr>
            </w:pPr>
          </w:p>
        </w:tc>
        <w:tc>
          <w:tcPr>
            <w:tcW w:w="2496" w:type="dxa"/>
          </w:tcPr>
          <w:p>
            <w:pPr>
              <w:pStyle w:val="12"/>
              <w:rPr>
                <w:rFonts w:ascii="Times New Roman"/>
                <w:sz w:val="20"/>
              </w:rPr>
            </w:pPr>
          </w:p>
        </w:tc>
        <w:tc>
          <w:tcPr>
            <w:tcW w:w="3955"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0" w:hRule="atLeast"/>
        </w:trPr>
        <w:tc>
          <w:tcPr>
            <w:tcW w:w="189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7"/>
              <w:ind w:right="251"/>
              <w:jc w:val="right"/>
              <w:rPr>
                <w:sz w:val="21"/>
              </w:rPr>
            </w:pPr>
            <w:r>
              <w:rPr>
                <w:sz w:val="21"/>
              </w:rPr>
              <w:t>ZH52272820001</w:t>
            </w:r>
          </w:p>
        </w:tc>
        <w:tc>
          <w:tcPr>
            <w:tcW w:w="1473"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1"/>
              <w:rPr>
                <w:b/>
                <w:sz w:val="16"/>
              </w:rPr>
            </w:pPr>
          </w:p>
          <w:p>
            <w:pPr>
              <w:pStyle w:val="12"/>
              <w:spacing w:line="213" w:lineRule="auto"/>
              <w:ind w:left="211" w:right="195"/>
              <w:jc w:val="both"/>
              <w:rPr>
                <w:sz w:val="21"/>
              </w:rPr>
            </w:pPr>
            <w:r>
              <w:rPr>
                <w:sz w:val="21"/>
              </w:rPr>
              <w:t>贵州罗甸工业园区重点管控单元</w:t>
            </w:r>
          </w:p>
        </w:tc>
        <w:tc>
          <w:tcPr>
            <w:tcW w:w="707"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26"/>
              </w:rPr>
            </w:pPr>
          </w:p>
          <w:p>
            <w:pPr>
              <w:pStyle w:val="12"/>
              <w:spacing w:line="213" w:lineRule="auto"/>
              <w:ind w:left="248" w:right="127" w:hanging="104"/>
              <w:rPr>
                <w:sz w:val="21"/>
              </w:rPr>
            </w:pPr>
            <w:r>
              <w:rPr>
                <w:sz w:val="21"/>
              </w:rPr>
              <w:t>贵州省</w:t>
            </w:r>
          </w:p>
        </w:tc>
        <w:tc>
          <w:tcPr>
            <w:tcW w:w="1285"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26"/>
              </w:rPr>
            </w:pPr>
          </w:p>
          <w:p>
            <w:pPr>
              <w:pStyle w:val="12"/>
              <w:spacing w:line="213" w:lineRule="auto"/>
              <w:ind w:left="119" w:right="99"/>
              <w:rPr>
                <w:sz w:val="21"/>
              </w:rPr>
            </w:pPr>
            <w:r>
              <w:rPr>
                <w:sz w:val="21"/>
              </w:rPr>
              <w:t>黔南布依族苗族自治州</w:t>
            </w:r>
          </w:p>
        </w:tc>
        <w:tc>
          <w:tcPr>
            <w:tcW w:w="84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7"/>
              <w:ind w:left="111"/>
              <w:rPr>
                <w:sz w:val="21"/>
              </w:rPr>
            </w:pPr>
            <w:r>
              <w:rPr>
                <w:sz w:val="21"/>
              </w:rPr>
              <w:t>罗甸县</w:t>
            </w:r>
          </w:p>
        </w:tc>
        <w:tc>
          <w:tcPr>
            <w:tcW w:w="1474"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77"/>
              <w:ind w:left="94" w:right="70"/>
              <w:jc w:val="center"/>
              <w:rPr>
                <w:sz w:val="21"/>
              </w:rPr>
            </w:pPr>
            <w:r>
              <w:rPr>
                <w:sz w:val="21"/>
              </w:rPr>
              <w:t>重点管控单元</w:t>
            </w:r>
          </w:p>
        </w:tc>
        <w:tc>
          <w:tcPr>
            <w:tcW w:w="3051" w:type="dxa"/>
          </w:tcPr>
          <w:p>
            <w:pPr>
              <w:pStyle w:val="12"/>
              <w:rPr>
                <w:b/>
                <w:sz w:val="20"/>
              </w:rPr>
            </w:pPr>
          </w:p>
          <w:p>
            <w:pPr>
              <w:pStyle w:val="12"/>
              <w:rPr>
                <w:b/>
                <w:sz w:val="20"/>
              </w:rPr>
            </w:pPr>
          </w:p>
          <w:p>
            <w:pPr>
              <w:pStyle w:val="12"/>
              <w:rPr>
                <w:b/>
                <w:sz w:val="20"/>
              </w:rPr>
            </w:pPr>
          </w:p>
          <w:p>
            <w:pPr>
              <w:pStyle w:val="12"/>
              <w:rPr>
                <w:b/>
                <w:sz w:val="20"/>
              </w:rPr>
            </w:pPr>
          </w:p>
          <w:p>
            <w:pPr>
              <w:pStyle w:val="12"/>
              <w:spacing w:before="11"/>
              <w:rPr>
                <w:b/>
                <w:sz w:val="21"/>
              </w:rPr>
            </w:pPr>
          </w:p>
          <w:p>
            <w:pPr>
              <w:pStyle w:val="12"/>
              <w:spacing w:line="213" w:lineRule="auto"/>
              <w:ind w:left="115" w:right="84"/>
              <w:rPr>
                <w:sz w:val="21"/>
              </w:rPr>
            </w:pPr>
            <w:r>
              <w:rPr>
                <w:sz w:val="21"/>
              </w:rPr>
              <w:t>执行省/黔南州水要素普适性要求。</w:t>
            </w:r>
          </w:p>
          <w:p>
            <w:pPr>
              <w:pStyle w:val="12"/>
              <w:spacing w:before="2" w:line="213" w:lineRule="auto"/>
              <w:ind w:left="115" w:right="84"/>
              <w:rPr>
                <w:sz w:val="21"/>
              </w:rPr>
            </w:pPr>
            <w:r>
              <w:rPr>
                <w:spacing w:val="-13"/>
                <w:sz w:val="21"/>
              </w:rPr>
              <w:t>执行贵州省、黔南州大气普适性</w:t>
            </w:r>
            <w:r>
              <w:rPr>
                <w:sz w:val="21"/>
              </w:rPr>
              <w:t>要求。</w:t>
            </w:r>
          </w:p>
          <w:p>
            <w:pPr>
              <w:pStyle w:val="12"/>
              <w:spacing w:before="1" w:line="213" w:lineRule="auto"/>
              <w:ind w:left="115" w:right="84"/>
              <w:jc w:val="both"/>
              <w:rPr>
                <w:sz w:val="21"/>
              </w:rPr>
            </w:pPr>
            <w:r>
              <w:rPr>
                <w:spacing w:val="5"/>
                <w:sz w:val="21"/>
              </w:rPr>
              <w:t>按照《产业结构调整指导目录(2013</w:t>
            </w:r>
            <w:r>
              <w:rPr>
                <w:spacing w:val="-4"/>
                <w:sz w:val="21"/>
              </w:rPr>
              <w:t xml:space="preserve"> 年修正)》的划定，对不</w:t>
            </w:r>
            <w:r>
              <w:rPr>
                <w:spacing w:val="-13"/>
                <w:sz w:val="21"/>
              </w:rPr>
              <w:t>属于其中的鼓励类、限制类、淘</w:t>
            </w:r>
            <w:r>
              <w:rPr>
                <w:spacing w:val="5"/>
                <w:sz w:val="21"/>
              </w:rPr>
              <w:t>汰类项目，又符合清洁生产要</w:t>
            </w:r>
            <w:r>
              <w:rPr>
                <w:spacing w:val="-13"/>
                <w:sz w:val="21"/>
              </w:rPr>
              <w:t>求，能够达到行业《清洁生产标准》的二级标准及以上水平的行</w:t>
            </w:r>
            <w:r>
              <w:rPr>
                <w:spacing w:val="-1"/>
                <w:sz w:val="21"/>
              </w:rPr>
              <w:t>业项目。</w:t>
            </w:r>
          </w:p>
        </w:tc>
        <w:tc>
          <w:tcPr>
            <w:tcW w:w="3451" w:type="dxa"/>
          </w:tcPr>
          <w:p>
            <w:pPr>
              <w:pStyle w:val="12"/>
              <w:spacing w:before="7"/>
              <w:rPr>
                <w:b/>
                <w:sz w:val="17"/>
              </w:rPr>
            </w:pPr>
          </w:p>
          <w:p>
            <w:pPr>
              <w:pStyle w:val="12"/>
              <w:spacing w:before="1" w:line="213" w:lineRule="auto"/>
              <w:ind w:left="117" w:right="84"/>
              <w:rPr>
                <w:sz w:val="21"/>
              </w:rPr>
            </w:pPr>
            <w:r>
              <w:rPr>
                <w:spacing w:val="3"/>
                <w:sz w:val="21"/>
              </w:rPr>
              <w:t xml:space="preserve">“两区”与相邻的周边工业项目设置适当的防护距离和绿化隔离带， </w:t>
            </w:r>
            <w:r>
              <w:rPr>
                <w:spacing w:val="-3"/>
                <w:sz w:val="21"/>
              </w:rPr>
              <w:t xml:space="preserve">不宜设置污染较大的企业项目； </w:t>
            </w:r>
            <w:r>
              <w:rPr>
                <w:spacing w:val="3"/>
                <w:sz w:val="21"/>
              </w:rPr>
              <w:t>严格控制一类污染物排放，含一类污染物的废水必须在车间出口达到</w:t>
            </w:r>
          </w:p>
          <w:p>
            <w:pPr>
              <w:pStyle w:val="12"/>
              <w:spacing w:line="234" w:lineRule="exact"/>
              <w:ind w:left="117"/>
              <w:rPr>
                <w:sz w:val="21"/>
              </w:rPr>
            </w:pPr>
            <w:r>
              <w:rPr>
                <w:spacing w:val="5"/>
                <w:sz w:val="21"/>
              </w:rPr>
              <w:t>《 污 水 综 合 排 放 标 准 》</w:t>
            </w:r>
          </w:p>
          <w:p>
            <w:pPr>
              <w:pStyle w:val="12"/>
              <w:spacing w:before="9" w:line="213" w:lineRule="auto"/>
              <w:ind w:left="117" w:right="81"/>
              <w:jc w:val="both"/>
              <w:rPr>
                <w:sz w:val="21"/>
              </w:rPr>
            </w:pPr>
            <w:r>
              <w:rPr>
                <w:spacing w:val="-3"/>
                <w:sz w:val="21"/>
              </w:rPr>
              <w:t>（GB8978-1996）</w:t>
            </w:r>
            <w:r>
              <w:rPr>
                <w:spacing w:val="-5"/>
                <w:sz w:val="21"/>
              </w:rPr>
              <w:t>一类污染物浓度标</w:t>
            </w:r>
            <w:r>
              <w:rPr>
                <w:spacing w:val="3"/>
                <w:sz w:val="21"/>
              </w:rPr>
              <w:t>准限值后方可接入污水管道；含有特殊污染物的污水如含高浓度盐份和其它可能抑制、影响生化处理效果的废水需要进行严格预处理，否则不得接入；生产废液按“固体废物”处置，严禁混入废水稀释排入</w:t>
            </w:r>
            <w:r>
              <w:rPr>
                <w:sz w:val="21"/>
              </w:rPr>
              <w:t>污水管网。</w:t>
            </w:r>
          </w:p>
          <w:p>
            <w:pPr>
              <w:pStyle w:val="12"/>
              <w:spacing w:before="4" w:line="213" w:lineRule="auto"/>
              <w:ind w:left="117" w:right="82"/>
              <w:jc w:val="both"/>
              <w:rPr>
                <w:sz w:val="21"/>
              </w:rPr>
            </w:pPr>
            <w:r>
              <w:rPr>
                <w:sz w:val="21"/>
              </w:rPr>
              <w:t>防护距离不超过 200m/县城生物医药产业园区污水禁止一切形式的直接或间接排放入莲花河，使莲花河水质不断改善，全区污水必须经处理后回用，剩余部分需进入县城污水处理厂处理后排放</w:t>
            </w:r>
          </w:p>
        </w:tc>
        <w:tc>
          <w:tcPr>
            <w:tcW w:w="2496" w:type="dxa"/>
          </w:tcPr>
          <w:p>
            <w:pPr>
              <w:pStyle w:val="12"/>
              <w:spacing w:line="217" w:lineRule="exact"/>
              <w:ind w:left="119"/>
              <w:rPr>
                <w:sz w:val="21"/>
              </w:rPr>
            </w:pPr>
            <w:r>
              <w:rPr>
                <w:sz w:val="21"/>
              </w:rPr>
              <w:t>执行贵州省土壤普适性</w:t>
            </w:r>
          </w:p>
          <w:p>
            <w:pPr>
              <w:pStyle w:val="12"/>
              <w:spacing w:line="240" w:lineRule="exact"/>
              <w:ind w:left="119"/>
              <w:rPr>
                <w:sz w:val="21"/>
              </w:rPr>
            </w:pPr>
            <w:r>
              <w:rPr>
                <w:sz w:val="21"/>
              </w:rPr>
              <w:t>管控要求。</w:t>
            </w:r>
          </w:p>
          <w:p>
            <w:pPr>
              <w:pStyle w:val="12"/>
              <w:spacing w:before="8" w:line="213" w:lineRule="auto"/>
              <w:ind w:left="119" w:right="60"/>
              <w:jc w:val="both"/>
              <w:rPr>
                <w:sz w:val="21"/>
              </w:rPr>
            </w:pPr>
            <w:r>
              <w:rPr>
                <w:spacing w:val="-6"/>
                <w:sz w:val="21"/>
              </w:rPr>
              <w:t>园区实行雨污分流、清污</w:t>
            </w:r>
            <w:r>
              <w:rPr>
                <w:spacing w:val="-7"/>
                <w:sz w:val="21"/>
              </w:rPr>
              <w:t>分流，在管网建设过程中</w:t>
            </w:r>
            <w:r>
              <w:rPr>
                <w:spacing w:val="17"/>
                <w:sz w:val="21"/>
              </w:rPr>
              <w:t>必须在不同功能区管网碰接处及雨水排口设置</w:t>
            </w:r>
            <w:r>
              <w:rPr>
                <w:spacing w:val="-6"/>
                <w:sz w:val="21"/>
              </w:rPr>
              <w:t>阻断设施。园区生产废水</w:t>
            </w:r>
            <w:r>
              <w:rPr>
                <w:spacing w:val="17"/>
                <w:sz w:val="21"/>
              </w:rPr>
              <w:t>排污管网最终排放口处</w:t>
            </w:r>
            <w:r>
              <w:rPr>
                <w:spacing w:val="-3"/>
                <w:sz w:val="21"/>
              </w:rPr>
              <w:t>必须安装阻断设施。</w:t>
            </w:r>
          </w:p>
          <w:p>
            <w:pPr>
              <w:pStyle w:val="12"/>
              <w:spacing w:before="5" w:line="213" w:lineRule="auto"/>
              <w:ind w:left="119" w:right="60"/>
              <w:jc w:val="both"/>
              <w:rPr>
                <w:sz w:val="21"/>
              </w:rPr>
            </w:pPr>
            <w:r>
              <w:rPr>
                <w:spacing w:val="17"/>
                <w:sz w:val="21"/>
              </w:rPr>
              <w:t>入区企业厂区内实行雨</w:t>
            </w:r>
            <w:r>
              <w:rPr>
                <w:spacing w:val="-7"/>
                <w:sz w:val="21"/>
              </w:rPr>
              <w:t>污分流、清污分流，并对</w:t>
            </w:r>
            <w:r>
              <w:rPr>
                <w:spacing w:val="-8"/>
                <w:sz w:val="21"/>
              </w:rPr>
              <w:t>初期雨水进行收集，雨水</w:t>
            </w:r>
            <w:r>
              <w:rPr>
                <w:spacing w:val="17"/>
                <w:sz w:val="21"/>
              </w:rPr>
              <w:t>和废水排放口设置阻断设施。</w:t>
            </w:r>
          </w:p>
          <w:p>
            <w:pPr>
              <w:pStyle w:val="12"/>
              <w:spacing w:before="2" w:line="213" w:lineRule="auto"/>
              <w:ind w:left="119" w:right="52"/>
              <w:jc w:val="both"/>
              <w:rPr>
                <w:sz w:val="21"/>
              </w:rPr>
            </w:pPr>
            <w:r>
              <w:rPr>
                <w:spacing w:val="-7"/>
                <w:sz w:val="21"/>
              </w:rPr>
              <w:t>途径蒙江、坝王河、边阳</w:t>
            </w:r>
            <w:r>
              <w:rPr>
                <w:spacing w:val="-8"/>
                <w:sz w:val="21"/>
              </w:rPr>
              <w:t>河沿岸，应减速慢行，在</w:t>
            </w:r>
            <w:r>
              <w:rPr>
                <w:spacing w:val="19"/>
                <w:sz w:val="21"/>
              </w:rPr>
              <w:t>跨河桥侧设置桥面径流</w:t>
            </w:r>
            <w:r>
              <w:rPr>
                <w:spacing w:val="-6"/>
                <w:sz w:val="21"/>
              </w:rPr>
              <w:t>收集系统，避免泄露进入</w:t>
            </w:r>
            <w:r>
              <w:rPr>
                <w:spacing w:val="-5"/>
                <w:sz w:val="21"/>
              </w:rPr>
              <w:t>河流对坝王河饮用水源、</w:t>
            </w:r>
            <w:r>
              <w:rPr>
                <w:spacing w:val="19"/>
                <w:sz w:val="21"/>
              </w:rPr>
              <w:t>蒙江特种鱼类保护区及湿地保护区生态造成风</w:t>
            </w:r>
            <w:r>
              <w:rPr>
                <w:sz w:val="21"/>
              </w:rPr>
              <w:t>险事故</w:t>
            </w:r>
          </w:p>
        </w:tc>
        <w:tc>
          <w:tcPr>
            <w:tcW w:w="3955" w:type="dxa"/>
          </w:tcPr>
          <w:p>
            <w:pPr>
              <w:pStyle w:val="12"/>
              <w:rPr>
                <w:b/>
                <w:sz w:val="20"/>
              </w:rPr>
            </w:pPr>
          </w:p>
          <w:p>
            <w:pPr>
              <w:pStyle w:val="12"/>
              <w:spacing w:before="11"/>
              <w:rPr>
                <w:b/>
                <w:sz w:val="25"/>
              </w:rPr>
            </w:pPr>
          </w:p>
          <w:p>
            <w:pPr>
              <w:pStyle w:val="12"/>
              <w:spacing w:line="211" w:lineRule="auto"/>
              <w:ind w:left="122" w:right="112"/>
              <w:jc w:val="both"/>
              <w:rPr>
                <w:sz w:val="21"/>
              </w:rPr>
            </w:pPr>
            <w:r>
              <w:rPr>
                <w:spacing w:val="-1"/>
                <w:sz w:val="21"/>
              </w:rPr>
              <w:t>水资源：</w:t>
            </w:r>
            <w:r>
              <w:rPr>
                <w:sz w:val="21"/>
              </w:rPr>
              <w:t>2020</w:t>
            </w:r>
            <w:r>
              <w:rPr>
                <w:spacing w:val="-13"/>
                <w:sz w:val="21"/>
              </w:rPr>
              <w:t xml:space="preserve"> 年，用水总量控制在 </w:t>
            </w:r>
            <w:r>
              <w:rPr>
                <w:sz w:val="21"/>
              </w:rPr>
              <w:t xml:space="preserve">0.90 </w:t>
            </w:r>
            <w:r>
              <w:rPr>
                <w:spacing w:val="-25"/>
                <w:sz w:val="21"/>
              </w:rPr>
              <w:t xml:space="preserve">亿 </w:t>
            </w:r>
            <w:r>
              <w:rPr>
                <w:sz w:val="21"/>
              </w:rPr>
              <w:t>m</w:t>
            </w:r>
            <w:r>
              <w:rPr>
                <w:position w:val="11"/>
                <w:sz w:val="11"/>
              </w:rPr>
              <w:t xml:space="preserve">3 </w:t>
            </w:r>
            <w:r>
              <w:rPr>
                <w:spacing w:val="-2"/>
                <w:sz w:val="21"/>
              </w:rPr>
              <w:t>以内，</w:t>
            </w:r>
            <w:r>
              <w:rPr>
                <w:sz w:val="21"/>
              </w:rPr>
              <w:t>2030</w:t>
            </w:r>
            <w:r>
              <w:rPr>
                <w:spacing w:val="-13"/>
                <w:sz w:val="21"/>
              </w:rPr>
              <w:t xml:space="preserve"> 年用水总量控制在 </w:t>
            </w:r>
            <w:r>
              <w:rPr>
                <w:sz w:val="21"/>
              </w:rPr>
              <w:t xml:space="preserve">0.67 </w:t>
            </w:r>
            <w:r>
              <w:rPr>
                <w:spacing w:val="-24"/>
                <w:sz w:val="21"/>
              </w:rPr>
              <w:t xml:space="preserve">亿 </w:t>
            </w:r>
            <w:r>
              <w:rPr>
                <w:sz w:val="21"/>
              </w:rPr>
              <w:t>m</w:t>
            </w:r>
            <w:r>
              <w:rPr>
                <w:position w:val="11"/>
                <w:sz w:val="11"/>
              </w:rPr>
              <w:t>3</w:t>
            </w:r>
            <w:r>
              <w:rPr>
                <w:spacing w:val="-3"/>
                <w:sz w:val="21"/>
              </w:rPr>
              <w:t>。</w:t>
            </w:r>
            <w:r>
              <w:rPr>
                <w:sz w:val="21"/>
              </w:rPr>
              <w:t>2020</w:t>
            </w:r>
            <w:r>
              <w:rPr>
                <w:spacing w:val="-3"/>
                <w:sz w:val="21"/>
              </w:rPr>
              <w:t xml:space="preserve"> 年万元国民生产总值用水量</w:t>
            </w:r>
            <w:r>
              <w:rPr>
                <w:spacing w:val="-27"/>
                <w:sz w:val="21"/>
              </w:rPr>
              <w:t xml:space="preserve">比 </w:t>
            </w:r>
            <w:r>
              <w:rPr>
                <w:sz w:val="21"/>
              </w:rPr>
              <w:t>2015</w:t>
            </w:r>
            <w:r>
              <w:rPr>
                <w:spacing w:val="-11"/>
                <w:sz w:val="21"/>
              </w:rPr>
              <w:t xml:space="preserve"> 年下降 </w:t>
            </w:r>
            <w:r>
              <w:rPr>
                <w:sz w:val="21"/>
              </w:rPr>
              <w:t>30</w:t>
            </w:r>
            <w:r>
              <w:rPr>
                <w:spacing w:val="-3"/>
                <w:sz w:val="21"/>
              </w:rPr>
              <w:t>%；万元工业增加值用</w:t>
            </w:r>
            <w:r>
              <w:rPr>
                <w:spacing w:val="-15"/>
                <w:sz w:val="21"/>
              </w:rPr>
              <w:t xml:space="preserve">水量比 </w:t>
            </w:r>
            <w:r>
              <w:rPr>
                <w:sz w:val="21"/>
              </w:rPr>
              <w:t>2015</w:t>
            </w:r>
            <w:r>
              <w:rPr>
                <w:spacing w:val="-13"/>
                <w:sz w:val="21"/>
              </w:rPr>
              <w:t xml:space="preserve"> 年下降 </w:t>
            </w:r>
            <w:r>
              <w:rPr>
                <w:sz w:val="21"/>
              </w:rPr>
              <w:t>32%。</w:t>
            </w:r>
          </w:p>
          <w:p>
            <w:pPr>
              <w:pStyle w:val="12"/>
              <w:spacing w:line="213" w:lineRule="auto"/>
              <w:ind w:left="122" w:right="-15"/>
              <w:rPr>
                <w:sz w:val="21"/>
              </w:rPr>
            </w:pPr>
            <w:r>
              <w:rPr>
                <w:spacing w:val="-3"/>
                <w:sz w:val="21"/>
              </w:rPr>
              <w:t>能源:执行黔南州能源利用普适性要求。</w:t>
            </w:r>
            <w:r>
              <w:rPr>
                <w:spacing w:val="-10"/>
                <w:sz w:val="21"/>
              </w:rPr>
              <w:t xml:space="preserve">其他资源：至 </w:t>
            </w:r>
            <w:r>
              <w:rPr>
                <w:sz w:val="21"/>
              </w:rPr>
              <w:t>2020</w:t>
            </w:r>
            <w:r>
              <w:rPr>
                <w:spacing w:val="-8"/>
                <w:sz w:val="21"/>
              </w:rPr>
              <w:t xml:space="preserve"> 年，全县人均城镇工</w:t>
            </w:r>
            <w:r>
              <w:rPr>
                <w:spacing w:val="-13"/>
                <w:sz w:val="21"/>
              </w:rPr>
              <w:t xml:space="preserve">矿用地规模 </w:t>
            </w:r>
            <w:r>
              <w:rPr>
                <w:sz w:val="21"/>
              </w:rPr>
              <w:t>137m2</w:t>
            </w:r>
            <w:r>
              <w:rPr>
                <w:spacing w:val="-14"/>
                <w:sz w:val="21"/>
              </w:rPr>
              <w:t xml:space="preserve">，亿元 </w:t>
            </w:r>
            <w:r>
              <w:rPr>
                <w:sz w:val="21"/>
              </w:rPr>
              <w:t>GDP</w:t>
            </w:r>
            <w:r>
              <w:rPr>
                <w:spacing w:val="-10"/>
                <w:sz w:val="21"/>
              </w:rPr>
              <w:t xml:space="preserve"> 耗地量不高</w:t>
            </w:r>
            <w:r>
              <w:rPr>
                <w:spacing w:val="-31"/>
                <w:sz w:val="21"/>
              </w:rPr>
              <w:t xml:space="preserve">于 </w:t>
            </w:r>
            <w:r>
              <w:rPr>
                <w:sz w:val="21"/>
              </w:rPr>
              <w:t>256</w:t>
            </w:r>
            <w:r>
              <w:rPr>
                <w:spacing w:val="-19"/>
                <w:sz w:val="21"/>
              </w:rPr>
              <w:t xml:space="preserve"> 公顷</w:t>
            </w:r>
            <w:r>
              <w:rPr>
                <w:sz w:val="21"/>
              </w:rPr>
              <w:t>/</w:t>
            </w:r>
            <w:r>
              <w:rPr>
                <w:spacing w:val="-3"/>
                <w:sz w:val="21"/>
              </w:rPr>
              <w:t>亿元，耕地保有量不低于35554ha</w:t>
            </w:r>
            <w:r>
              <w:rPr>
                <w:spacing w:val="-7"/>
                <w:sz w:val="21"/>
              </w:rPr>
              <w:t xml:space="preserve">，规划基本农田不低于 </w:t>
            </w:r>
            <w:r>
              <w:rPr>
                <w:spacing w:val="-3"/>
                <w:sz w:val="21"/>
              </w:rPr>
              <w:t>45893ha， 建设用地总规模不高于</w:t>
            </w:r>
            <w:r>
              <w:rPr>
                <w:spacing w:val="-53"/>
                <w:sz w:val="21"/>
              </w:rPr>
              <w:t xml:space="preserve"> </w:t>
            </w:r>
            <w:r>
              <w:rPr>
                <w:spacing w:val="-3"/>
                <w:sz w:val="21"/>
              </w:rPr>
              <w:t>63</w:t>
            </w:r>
            <w:r>
              <w:rPr>
                <w:sz w:val="21"/>
              </w:rPr>
              <w:t>33h</w:t>
            </w:r>
            <w:r>
              <w:rPr>
                <w:spacing w:val="-1"/>
                <w:sz w:val="21"/>
              </w:rPr>
              <w:t>a</w:t>
            </w:r>
            <w:r>
              <w:rPr>
                <w:spacing w:val="-21"/>
                <w:sz w:val="21"/>
              </w:rPr>
              <w:t>，新增建设</w:t>
            </w:r>
            <w:r>
              <w:rPr>
                <w:spacing w:val="-13"/>
                <w:sz w:val="21"/>
              </w:rPr>
              <w:t xml:space="preserve">占用农用地不高于 </w:t>
            </w:r>
            <w:r>
              <w:rPr>
                <w:sz w:val="21"/>
              </w:rPr>
              <w:t>1113.37ha</w:t>
            </w:r>
            <w:r>
              <w:rPr>
                <w:spacing w:val="-1"/>
                <w:sz w:val="21"/>
              </w:rPr>
              <w:t>，新增建设</w:t>
            </w:r>
            <w:r>
              <w:rPr>
                <w:spacing w:val="-9"/>
                <w:sz w:val="21"/>
              </w:rPr>
              <w:t xml:space="preserve">占用耕地不高于 </w:t>
            </w:r>
            <w:r>
              <w:rPr>
                <w:sz w:val="21"/>
              </w:rPr>
              <w:t>902.32ha</w:t>
            </w:r>
            <w:r>
              <w:rPr>
                <w:spacing w:val="-2"/>
                <w:sz w:val="21"/>
              </w:rPr>
              <w:t>，园地不低于6717</w:t>
            </w:r>
            <w:r>
              <w:rPr>
                <w:spacing w:val="3"/>
                <w:sz w:val="21"/>
              </w:rPr>
              <w:t xml:space="preserve"> </w:t>
            </w:r>
            <w:r>
              <w:rPr>
                <w:spacing w:val="-3"/>
                <w:sz w:val="21"/>
              </w:rPr>
              <w:t>ha</w:t>
            </w:r>
            <w:r>
              <w:rPr>
                <w:spacing w:val="-10"/>
                <w:sz w:val="21"/>
              </w:rPr>
              <w:t xml:space="preserve">，林地不低于 </w:t>
            </w:r>
            <w:r>
              <w:rPr>
                <w:sz w:val="21"/>
              </w:rPr>
              <w:t>171473.53</w:t>
            </w:r>
            <w:r>
              <w:rPr>
                <w:spacing w:val="1"/>
                <w:sz w:val="21"/>
              </w:rPr>
              <w:t xml:space="preserve"> </w:t>
            </w:r>
            <w:r>
              <w:rPr>
                <w:sz w:val="21"/>
              </w:rPr>
              <w:t>ha，牧</w:t>
            </w:r>
          </w:p>
          <w:p>
            <w:pPr>
              <w:pStyle w:val="12"/>
              <w:spacing w:line="213" w:lineRule="auto"/>
              <w:ind w:left="122" w:right="76"/>
              <w:jc w:val="both"/>
              <w:rPr>
                <w:sz w:val="21"/>
              </w:rPr>
            </w:pPr>
            <w:r>
              <w:rPr>
                <w:spacing w:val="-11"/>
                <w:sz w:val="21"/>
              </w:rPr>
              <w:t xml:space="preserve">草地不低于 </w:t>
            </w:r>
            <w:r>
              <w:rPr>
                <w:sz w:val="21"/>
              </w:rPr>
              <w:t>200</w:t>
            </w:r>
            <w:r>
              <w:rPr>
                <w:spacing w:val="55"/>
                <w:sz w:val="21"/>
              </w:rPr>
              <w:t xml:space="preserve"> </w:t>
            </w:r>
            <w:r>
              <w:rPr>
                <w:spacing w:val="-8"/>
                <w:sz w:val="21"/>
              </w:rPr>
              <w:t>ha</w:t>
            </w:r>
            <w:r>
              <w:rPr>
                <w:spacing w:val="-20"/>
                <w:sz w:val="21"/>
              </w:rPr>
              <w:t xml:space="preserve">，到 </w:t>
            </w:r>
            <w:r>
              <w:rPr>
                <w:sz w:val="21"/>
              </w:rPr>
              <w:t>2020</w:t>
            </w:r>
            <w:r>
              <w:rPr>
                <w:spacing w:val="-14"/>
                <w:sz w:val="21"/>
              </w:rPr>
              <w:t xml:space="preserve"> 年，国土空</w:t>
            </w:r>
            <w:r>
              <w:rPr>
                <w:spacing w:val="-12"/>
                <w:sz w:val="21"/>
              </w:rPr>
              <w:t xml:space="preserve">间开发强度控制在 </w:t>
            </w:r>
            <w:r>
              <w:rPr>
                <w:sz w:val="21"/>
              </w:rPr>
              <w:t>4.2</w:t>
            </w:r>
            <w:r>
              <w:rPr>
                <w:spacing w:val="-2"/>
                <w:sz w:val="21"/>
              </w:rPr>
              <w:t>%以内。</w:t>
            </w:r>
            <w:r>
              <w:rPr>
                <w:sz w:val="21"/>
              </w:rPr>
              <w:t>2016</w:t>
            </w:r>
            <w:r>
              <w:rPr>
                <w:spacing w:val="-18"/>
                <w:sz w:val="21"/>
              </w:rPr>
              <w:t xml:space="preserve"> 年工</w:t>
            </w:r>
            <w:r>
              <w:rPr>
                <w:spacing w:val="-12"/>
                <w:sz w:val="21"/>
              </w:rPr>
              <w:t xml:space="preserve">业用水重复利用率 </w:t>
            </w:r>
            <w:r>
              <w:rPr>
                <w:sz w:val="21"/>
              </w:rPr>
              <w:t>80%，2020</w:t>
            </w:r>
            <w:r>
              <w:rPr>
                <w:spacing w:val="-34"/>
                <w:sz w:val="21"/>
              </w:rPr>
              <w:t xml:space="preserve"> 年 </w:t>
            </w:r>
            <w:r>
              <w:rPr>
                <w:sz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896" w:type="dxa"/>
          </w:tcPr>
          <w:p>
            <w:pPr>
              <w:pStyle w:val="12"/>
              <w:spacing w:before="82"/>
              <w:ind w:right="252"/>
              <w:jc w:val="right"/>
              <w:rPr>
                <w:sz w:val="21"/>
              </w:rPr>
            </w:pPr>
            <w:r>
              <w:rPr>
                <w:sz w:val="21"/>
              </w:rPr>
              <w:t>ZH52272820002</w:t>
            </w:r>
          </w:p>
        </w:tc>
        <w:tc>
          <w:tcPr>
            <w:tcW w:w="1473" w:type="dxa"/>
          </w:tcPr>
          <w:p>
            <w:pPr>
              <w:pStyle w:val="12"/>
              <w:spacing w:line="217" w:lineRule="exact"/>
              <w:ind w:left="211"/>
              <w:rPr>
                <w:sz w:val="21"/>
              </w:rPr>
            </w:pPr>
            <w:r>
              <w:rPr>
                <w:spacing w:val="-1"/>
                <w:sz w:val="21"/>
              </w:rPr>
              <w:t>罗甸县重点</w:t>
            </w:r>
          </w:p>
          <w:p>
            <w:pPr>
              <w:pStyle w:val="12"/>
              <w:spacing w:line="245" w:lineRule="exact"/>
              <w:ind w:left="237"/>
              <w:rPr>
                <w:sz w:val="21"/>
              </w:rPr>
            </w:pPr>
            <w:r>
              <w:rPr>
                <w:spacing w:val="-11"/>
                <w:sz w:val="21"/>
              </w:rPr>
              <w:t xml:space="preserve">管控单元 </w:t>
            </w:r>
            <w:r>
              <w:rPr>
                <w:sz w:val="21"/>
              </w:rPr>
              <w:t>1</w:t>
            </w:r>
          </w:p>
        </w:tc>
        <w:tc>
          <w:tcPr>
            <w:tcW w:w="707" w:type="dxa"/>
          </w:tcPr>
          <w:p>
            <w:pPr>
              <w:pStyle w:val="12"/>
              <w:spacing w:line="217" w:lineRule="exact"/>
              <w:ind w:left="126" w:right="111"/>
              <w:jc w:val="center"/>
              <w:rPr>
                <w:sz w:val="21"/>
              </w:rPr>
            </w:pPr>
            <w:r>
              <w:rPr>
                <w:sz w:val="21"/>
              </w:rPr>
              <w:t>贵州</w:t>
            </w:r>
          </w:p>
          <w:p>
            <w:pPr>
              <w:pStyle w:val="12"/>
              <w:spacing w:line="245" w:lineRule="exact"/>
              <w:ind w:left="10"/>
              <w:jc w:val="center"/>
              <w:rPr>
                <w:sz w:val="21"/>
              </w:rPr>
            </w:pPr>
            <w:r>
              <w:rPr>
                <w:sz w:val="21"/>
              </w:rPr>
              <w:t>省</w:t>
            </w:r>
          </w:p>
        </w:tc>
        <w:tc>
          <w:tcPr>
            <w:tcW w:w="1285" w:type="dxa"/>
          </w:tcPr>
          <w:p>
            <w:pPr>
              <w:pStyle w:val="12"/>
              <w:spacing w:line="217" w:lineRule="exact"/>
              <w:ind w:left="119"/>
              <w:rPr>
                <w:sz w:val="21"/>
              </w:rPr>
            </w:pPr>
            <w:r>
              <w:rPr>
                <w:spacing w:val="-1"/>
                <w:sz w:val="21"/>
              </w:rPr>
              <w:t>黔南布依族</w:t>
            </w:r>
          </w:p>
          <w:p>
            <w:pPr>
              <w:pStyle w:val="12"/>
              <w:spacing w:line="245" w:lineRule="exact"/>
              <w:ind w:left="119"/>
              <w:rPr>
                <w:sz w:val="21"/>
              </w:rPr>
            </w:pPr>
            <w:r>
              <w:rPr>
                <w:spacing w:val="-1"/>
                <w:sz w:val="21"/>
              </w:rPr>
              <w:t>苗族自治州</w:t>
            </w:r>
          </w:p>
        </w:tc>
        <w:tc>
          <w:tcPr>
            <w:tcW w:w="846" w:type="dxa"/>
          </w:tcPr>
          <w:p>
            <w:pPr>
              <w:pStyle w:val="12"/>
              <w:spacing w:before="82"/>
              <w:ind w:left="111"/>
              <w:rPr>
                <w:sz w:val="21"/>
              </w:rPr>
            </w:pPr>
            <w:r>
              <w:rPr>
                <w:sz w:val="21"/>
              </w:rPr>
              <w:t>罗甸县</w:t>
            </w:r>
          </w:p>
        </w:tc>
        <w:tc>
          <w:tcPr>
            <w:tcW w:w="1474" w:type="dxa"/>
          </w:tcPr>
          <w:p>
            <w:pPr>
              <w:pStyle w:val="12"/>
              <w:spacing w:before="82"/>
              <w:ind w:left="94" w:right="70"/>
              <w:jc w:val="center"/>
              <w:rPr>
                <w:sz w:val="21"/>
              </w:rPr>
            </w:pPr>
            <w:r>
              <w:rPr>
                <w:sz w:val="21"/>
              </w:rPr>
              <w:t>重点管控单元</w:t>
            </w:r>
          </w:p>
        </w:tc>
        <w:tc>
          <w:tcPr>
            <w:tcW w:w="3051" w:type="dxa"/>
          </w:tcPr>
          <w:p>
            <w:pPr>
              <w:pStyle w:val="12"/>
              <w:spacing w:line="217" w:lineRule="exact"/>
              <w:ind w:left="115"/>
              <w:rPr>
                <w:sz w:val="21"/>
              </w:rPr>
            </w:pPr>
            <w:r>
              <w:rPr>
                <w:sz w:val="21"/>
              </w:rPr>
              <w:t>执行当地高污染燃料禁燃区的</w:t>
            </w:r>
          </w:p>
          <w:p>
            <w:pPr>
              <w:pStyle w:val="12"/>
              <w:spacing w:line="245" w:lineRule="exact"/>
              <w:ind w:left="115"/>
              <w:rPr>
                <w:sz w:val="21"/>
              </w:rPr>
            </w:pPr>
            <w:r>
              <w:rPr>
                <w:sz w:val="21"/>
              </w:rPr>
              <w:t>要求。</w:t>
            </w:r>
          </w:p>
        </w:tc>
        <w:tc>
          <w:tcPr>
            <w:tcW w:w="3451" w:type="dxa"/>
          </w:tcPr>
          <w:p>
            <w:pPr>
              <w:pStyle w:val="12"/>
              <w:spacing w:line="217" w:lineRule="exact"/>
              <w:ind w:left="117"/>
              <w:rPr>
                <w:sz w:val="21"/>
              </w:rPr>
            </w:pPr>
            <w:r>
              <w:rPr>
                <w:sz w:val="21"/>
              </w:rPr>
              <w:t>执行省及黔南州大气要素普适性要</w:t>
            </w:r>
          </w:p>
          <w:p>
            <w:pPr>
              <w:pStyle w:val="12"/>
              <w:spacing w:line="245" w:lineRule="exact"/>
              <w:ind w:left="117"/>
              <w:rPr>
                <w:sz w:val="21"/>
              </w:rPr>
            </w:pPr>
            <w:r>
              <w:rPr>
                <w:sz w:val="21"/>
              </w:rPr>
              <w:t>求</w:t>
            </w:r>
          </w:p>
        </w:tc>
        <w:tc>
          <w:tcPr>
            <w:tcW w:w="2496" w:type="dxa"/>
          </w:tcPr>
          <w:p>
            <w:pPr>
              <w:pStyle w:val="12"/>
              <w:spacing w:line="217" w:lineRule="exact"/>
              <w:ind w:left="119"/>
              <w:rPr>
                <w:sz w:val="21"/>
              </w:rPr>
            </w:pPr>
            <w:r>
              <w:rPr>
                <w:sz w:val="21"/>
              </w:rPr>
              <w:t>执行贵州省土壤普适性</w:t>
            </w:r>
          </w:p>
          <w:p>
            <w:pPr>
              <w:pStyle w:val="12"/>
              <w:spacing w:line="245" w:lineRule="exact"/>
              <w:ind w:left="119"/>
              <w:rPr>
                <w:sz w:val="21"/>
              </w:rPr>
            </w:pPr>
            <w:r>
              <w:rPr>
                <w:sz w:val="21"/>
              </w:rPr>
              <w:t>管控要求。</w:t>
            </w:r>
          </w:p>
        </w:tc>
        <w:tc>
          <w:tcPr>
            <w:tcW w:w="3955" w:type="dxa"/>
          </w:tcPr>
          <w:p>
            <w:pPr>
              <w:pStyle w:val="12"/>
              <w:spacing w:line="206" w:lineRule="auto"/>
              <w:ind w:left="122" w:right="112"/>
              <w:rPr>
                <w:sz w:val="21"/>
              </w:rPr>
            </w:pPr>
            <w:r>
              <w:rPr>
                <w:spacing w:val="-1"/>
                <w:sz w:val="21"/>
              </w:rPr>
              <w:t>水资源：</w:t>
            </w:r>
            <w:r>
              <w:rPr>
                <w:sz w:val="21"/>
              </w:rPr>
              <w:t>2020</w:t>
            </w:r>
            <w:r>
              <w:rPr>
                <w:spacing w:val="-13"/>
                <w:sz w:val="21"/>
              </w:rPr>
              <w:t xml:space="preserve"> 年，用水总量控制在 </w:t>
            </w:r>
            <w:r>
              <w:rPr>
                <w:sz w:val="21"/>
              </w:rPr>
              <w:t xml:space="preserve">0.90 </w:t>
            </w:r>
            <w:r>
              <w:rPr>
                <w:spacing w:val="-25"/>
                <w:sz w:val="21"/>
              </w:rPr>
              <w:t xml:space="preserve">亿 </w:t>
            </w:r>
            <w:r>
              <w:rPr>
                <w:sz w:val="21"/>
              </w:rPr>
              <w:t>m</w:t>
            </w:r>
            <w:r>
              <w:rPr>
                <w:position w:val="11"/>
                <w:sz w:val="11"/>
              </w:rPr>
              <w:t xml:space="preserve">3 </w:t>
            </w:r>
            <w:r>
              <w:rPr>
                <w:spacing w:val="-2"/>
                <w:sz w:val="21"/>
              </w:rPr>
              <w:t>以内，</w:t>
            </w:r>
            <w:r>
              <w:rPr>
                <w:sz w:val="21"/>
              </w:rPr>
              <w:t>2030</w:t>
            </w:r>
            <w:r>
              <w:rPr>
                <w:spacing w:val="-13"/>
                <w:sz w:val="21"/>
              </w:rPr>
              <w:t xml:space="preserve"> 年用水总量控制在 </w:t>
            </w:r>
            <w:r>
              <w:rPr>
                <w:sz w:val="21"/>
              </w:rPr>
              <w:t>0.67</w:t>
            </w:r>
          </w:p>
        </w:tc>
      </w:tr>
    </w:tbl>
    <w:p>
      <w:pPr>
        <w:spacing w:line="206" w:lineRule="auto"/>
        <w:rPr>
          <w:sz w:val="21"/>
        </w:rPr>
        <w:sectPr>
          <w:pgSz w:w="23760" w:h="16790" w:orient="landscape"/>
          <w:pgMar w:top="980" w:right="660" w:bottom="1080" w:left="860" w:header="0" w:footer="894" w:gutter="0"/>
          <w:cols w:space="720" w:num="1"/>
        </w:sectPr>
      </w:pPr>
    </w:p>
    <w:tbl>
      <w:tblPr>
        <w:tblStyle w:val="3"/>
        <w:tblW w:w="20634"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1473"/>
        <w:gridCol w:w="707"/>
        <w:gridCol w:w="1285"/>
        <w:gridCol w:w="846"/>
        <w:gridCol w:w="1474"/>
        <w:gridCol w:w="3051"/>
        <w:gridCol w:w="3451"/>
        <w:gridCol w:w="2496"/>
        <w:gridCol w:w="3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896" w:type="dxa"/>
            <w:vMerge w:val="restart"/>
          </w:tcPr>
          <w:p>
            <w:pPr>
              <w:pStyle w:val="12"/>
              <w:spacing w:before="109"/>
              <w:ind w:left="107"/>
              <w:rPr>
                <w:sz w:val="21"/>
              </w:rPr>
            </w:pPr>
            <w:r>
              <w:rPr>
                <w:sz w:val="21"/>
              </w:rPr>
              <w:t>环境管控单元编码</w:t>
            </w:r>
          </w:p>
        </w:tc>
        <w:tc>
          <w:tcPr>
            <w:tcW w:w="1473" w:type="dxa"/>
            <w:vMerge w:val="restart"/>
          </w:tcPr>
          <w:p>
            <w:pPr>
              <w:pStyle w:val="12"/>
              <w:spacing w:before="7" w:line="240" w:lineRule="exact"/>
              <w:ind w:left="420" w:right="195" w:hanging="209"/>
              <w:rPr>
                <w:sz w:val="21"/>
              </w:rPr>
            </w:pPr>
            <w:r>
              <w:rPr>
                <w:sz w:val="21"/>
              </w:rPr>
              <w:t>环境管控单元名称</w:t>
            </w:r>
          </w:p>
        </w:tc>
        <w:tc>
          <w:tcPr>
            <w:tcW w:w="2838" w:type="dxa"/>
            <w:gridSpan w:val="3"/>
          </w:tcPr>
          <w:p>
            <w:pPr>
              <w:pStyle w:val="12"/>
              <w:spacing w:line="222" w:lineRule="exact"/>
              <w:ind w:left="982" w:right="965"/>
              <w:jc w:val="center"/>
              <w:rPr>
                <w:sz w:val="21"/>
              </w:rPr>
            </w:pPr>
            <w:r>
              <w:rPr>
                <w:sz w:val="21"/>
              </w:rPr>
              <w:t>行政区划</w:t>
            </w:r>
          </w:p>
        </w:tc>
        <w:tc>
          <w:tcPr>
            <w:tcW w:w="1474" w:type="dxa"/>
            <w:vMerge w:val="restart"/>
          </w:tcPr>
          <w:p>
            <w:pPr>
              <w:pStyle w:val="12"/>
              <w:spacing w:before="109"/>
              <w:ind w:left="113"/>
              <w:rPr>
                <w:sz w:val="21"/>
              </w:rPr>
            </w:pPr>
            <w:r>
              <w:rPr>
                <w:sz w:val="21"/>
              </w:rPr>
              <w:t>管控单元分类</w:t>
            </w:r>
          </w:p>
        </w:tc>
        <w:tc>
          <w:tcPr>
            <w:tcW w:w="12953" w:type="dxa"/>
            <w:gridSpan w:val="4"/>
          </w:tcPr>
          <w:p>
            <w:pPr>
              <w:pStyle w:val="12"/>
              <w:spacing w:line="222" w:lineRule="exact"/>
              <w:ind w:left="6048" w:right="6014"/>
              <w:jc w:val="center"/>
              <w:rPr>
                <w:sz w:val="21"/>
              </w:rPr>
            </w:pPr>
            <w:r>
              <w:rPr>
                <w:sz w:val="21"/>
              </w:rPr>
              <w:t>管控要求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896" w:type="dxa"/>
            <w:vMerge w:val="continue"/>
            <w:tcBorders>
              <w:top w:val="nil"/>
            </w:tcBorders>
          </w:tcPr>
          <w:p>
            <w:pPr>
              <w:rPr>
                <w:sz w:val="2"/>
                <w:szCs w:val="2"/>
              </w:rPr>
            </w:pPr>
          </w:p>
        </w:tc>
        <w:tc>
          <w:tcPr>
            <w:tcW w:w="1473" w:type="dxa"/>
            <w:vMerge w:val="continue"/>
            <w:tcBorders>
              <w:top w:val="nil"/>
            </w:tcBorders>
          </w:tcPr>
          <w:p>
            <w:pPr>
              <w:rPr>
                <w:sz w:val="2"/>
                <w:szCs w:val="2"/>
              </w:rPr>
            </w:pPr>
          </w:p>
        </w:tc>
        <w:tc>
          <w:tcPr>
            <w:tcW w:w="707" w:type="dxa"/>
          </w:tcPr>
          <w:p>
            <w:pPr>
              <w:pStyle w:val="12"/>
              <w:spacing w:line="220" w:lineRule="exact"/>
              <w:ind w:left="108"/>
              <w:rPr>
                <w:sz w:val="21"/>
              </w:rPr>
            </w:pPr>
            <w:r>
              <w:rPr>
                <w:sz w:val="21"/>
              </w:rPr>
              <w:t>省</w:t>
            </w:r>
          </w:p>
        </w:tc>
        <w:tc>
          <w:tcPr>
            <w:tcW w:w="1285" w:type="dxa"/>
          </w:tcPr>
          <w:p>
            <w:pPr>
              <w:pStyle w:val="12"/>
              <w:spacing w:line="220" w:lineRule="exact"/>
              <w:ind w:left="109"/>
              <w:rPr>
                <w:sz w:val="21"/>
              </w:rPr>
            </w:pPr>
            <w:r>
              <w:rPr>
                <w:sz w:val="21"/>
              </w:rPr>
              <w:t>市</w:t>
            </w:r>
          </w:p>
        </w:tc>
        <w:tc>
          <w:tcPr>
            <w:tcW w:w="846" w:type="dxa"/>
          </w:tcPr>
          <w:p>
            <w:pPr>
              <w:pStyle w:val="12"/>
              <w:spacing w:line="220" w:lineRule="exact"/>
              <w:ind w:left="111"/>
              <w:rPr>
                <w:sz w:val="21"/>
              </w:rPr>
            </w:pPr>
            <w:r>
              <w:rPr>
                <w:sz w:val="21"/>
              </w:rPr>
              <w:t>县</w:t>
            </w:r>
          </w:p>
        </w:tc>
        <w:tc>
          <w:tcPr>
            <w:tcW w:w="1474" w:type="dxa"/>
            <w:vMerge w:val="continue"/>
            <w:tcBorders>
              <w:top w:val="nil"/>
            </w:tcBorders>
          </w:tcPr>
          <w:p>
            <w:pPr>
              <w:rPr>
                <w:sz w:val="2"/>
                <w:szCs w:val="2"/>
              </w:rPr>
            </w:pPr>
          </w:p>
        </w:tc>
        <w:tc>
          <w:tcPr>
            <w:tcW w:w="3051" w:type="dxa"/>
          </w:tcPr>
          <w:p>
            <w:pPr>
              <w:pStyle w:val="12"/>
              <w:spacing w:line="220" w:lineRule="exact"/>
              <w:ind w:left="902"/>
              <w:rPr>
                <w:sz w:val="21"/>
              </w:rPr>
            </w:pPr>
            <w:r>
              <w:rPr>
                <w:sz w:val="21"/>
              </w:rPr>
              <w:t>空间布局约束</w:t>
            </w:r>
          </w:p>
        </w:tc>
        <w:tc>
          <w:tcPr>
            <w:tcW w:w="3451" w:type="dxa"/>
          </w:tcPr>
          <w:p>
            <w:pPr>
              <w:pStyle w:val="12"/>
              <w:spacing w:line="220" w:lineRule="exact"/>
              <w:ind w:left="1000"/>
              <w:rPr>
                <w:sz w:val="21"/>
              </w:rPr>
            </w:pPr>
            <w:r>
              <w:rPr>
                <w:sz w:val="21"/>
              </w:rPr>
              <w:t>污染物排放管控</w:t>
            </w:r>
          </w:p>
        </w:tc>
        <w:tc>
          <w:tcPr>
            <w:tcW w:w="2496" w:type="dxa"/>
          </w:tcPr>
          <w:p>
            <w:pPr>
              <w:pStyle w:val="12"/>
              <w:spacing w:line="220" w:lineRule="exact"/>
              <w:ind w:left="630"/>
              <w:rPr>
                <w:sz w:val="21"/>
              </w:rPr>
            </w:pPr>
            <w:r>
              <w:rPr>
                <w:sz w:val="21"/>
              </w:rPr>
              <w:t>环境风险防控</w:t>
            </w:r>
          </w:p>
        </w:tc>
        <w:tc>
          <w:tcPr>
            <w:tcW w:w="3955" w:type="dxa"/>
          </w:tcPr>
          <w:p>
            <w:pPr>
              <w:pStyle w:val="12"/>
              <w:spacing w:line="220" w:lineRule="exact"/>
              <w:ind w:left="1152"/>
              <w:rPr>
                <w:sz w:val="21"/>
              </w:rPr>
            </w:pPr>
            <w:r>
              <w:rPr>
                <w:sz w:val="21"/>
              </w:rPr>
              <w:t>资源开发效率要求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1896" w:type="dxa"/>
          </w:tcPr>
          <w:p>
            <w:pPr>
              <w:pStyle w:val="12"/>
              <w:rPr>
                <w:rFonts w:ascii="Times New Roman"/>
                <w:sz w:val="20"/>
              </w:rPr>
            </w:pPr>
          </w:p>
        </w:tc>
        <w:tc>
          <w:tcPr>
            <w:tcW w:w="1473" w:type="dxa"/>
          </w:tcPr>
          <w:p>
            <w:pPr>
              <w:pStyle w:val="12"/>
              <w:rPr>
                <w:rFonts w:ascii="Times New Roman"/>
                <w:sz w:val="20"/>
              </w:rPr>
            </w:pPr>
          </w:p>
        </w:tc>
        <w:tc>
          <w:tcPr>
            <w:tcW w:w="707" w:type="dxa"/>
          </w:tcPr>
          <w:p>
            <w:pPr>
              <w:pStyle w:val="12"/>
              <w:rPr>
                <w:rFonts w:ascii="Times New Roman"/>
                <w:sz w:val="20"/>
              </w:rPr>
            </w:pPr>
          </w:p>
        </w:tc>
        <w:tc>
          <w:tcPr>
            <w:tcW w:w="1285" w:type="dxa"/>
          </w:tcPr>
          <w:p>
            <w:pPr>
              <w:pStyle w:val="12"/>
              <w:rPr>
                <w:rFonts w:ascii="Times New Roman"/>
                <w:sz w:val="20"/>
              </w:rPr>
            </w:pPr>
          </w:p>
        </w:tc>
        <w:tc>
          <w:tcPr>
            <w:tcW w:w="846" w:type="dxa"/>
          </w:tcPr>
          <w:p>
            <w:pPr>
              <w:pStyle w:val="12"/>
              <w:rPr>
                <w:rFonts w:ascii="Times New Roman"/>
                <w:sz w:val="20"/>
              </w:rPr>
            </w:pPr>
          </w:p>
        </w:tc>
        <w:tc>
          <w:tcPr>
            <w:tcW w:w="1474" w:type="dxa"/>
          </w:tcPr>
          <w:p>
            <w:pPr>
              <w:pStyle w:val="12"/>
              <w:rPr>
                <w:rFonts w:ascii="Times New Roman"/>
                <w:sz w:val="20"/>
              </w:rPr>
            </w:pPr>
          </w:p>
        </w:tc>
        <w:tc>
          <w:tcPr>
            <w:tcW w:w="3051" w:type="dxa"/>
          </w:tcPr>
          <w:p>
            <w:pPr>
              <w:pStyle w:val="12"/>
              <w:spacing w:before="5" w:line="213" w:lineRule="auto"/>
              <w:ind w:left="115" w:right="84"/>
              <w:jc w:val="both"/>
              <w:rPr>
                <w:sz w:val="21"/>
              </w:rPr>
            </w:pPr>
            <w:r>
              <w:rPr>
                <w:spacing w:val="5"/>
                <w:sz w:val="21"/>
              </w:rPr>
              <w:t>大气环境受体敏感重点管控区</w:t>
            </w:r>
            <w:r>
              <w:rPr>
                <w:spacing w:val="-13"/>
                <w:sz w:val="21"/>
              </w:rPr>
              <w:t>执行省、州普适性总体管控要求</w:t>
            </w:r>
            <w:r>
              <w:rPr>
                <w:sz w:val="21"/>
              </w:rPr>
              <w:t>执行省</w:t>
            </w:r>
            <w:r>
              <w:rPr>
                <w:spacing w:val="-3"/>
                <w:sz w:val="21"/>
              </w:rPr>
              <w:t>/</w:t>
            </w:r>
            <w:r>
              <w:rPr>
                <w:spacing w:val="-5"/>
                <w:sz w:val="21"/>
              </w:rPr>
              <w:t>黔南州水要素普适性要</w:t>
            </w:r>
            <w:r>
              <w:rPr>
                <w:sz w:val="21"/>
              </w:rPr>
              <w:t>求</w:t>
            </w:r>
          </w:p>
        </w:tc>
        <w:tc>
          <w:tcPr>
            <w:tcW w:w="3451" w:type="dxa"/>
          </w:tcPr>
          <w:p>
            <w:pPr>
              <w:pStyle w:val="12"/>
              <w:spacing w:before="5" w:line="213" w:lineRule="auto"/>
              <w:ind w:left="117" w:right="64"/>
              <w:jc w:val="both"/>
              <w:rPr>
                <w:sz w:val="21"/>
              </w:rPr>
            </w:pPr>
            <w:r>
              <w:rPr>
                <w:spacing w:val="-1"/>
                <w:sz w:val="21"/>
              </w:rPr>
              <w:t>执行省</w:t>
            </w:r>
            <w:r>
              <w:rPr>
                <w:sz w:val="21"/>
              </w:rPr>
              <w:t>/</w:t>
            </w:r>
            <w:r>
              <w:rPr>
                <w:spacing w:val="-4"/>
                <w:sz w:val="21"/>
              </w:rPr>
              <w:t>黔南州水要素普适性要求。</w:t>
            </w:r>
            <w:r>
              <w:rPr>
                <w:spacing w:val="3"/>
                <w:sz w:val="21"/>
              </w:rPr>
              <w:t>严格控制一类污染物排放，含一类污染物的废水必须在车间出口达到</w:t>
            </w:r>
          </w:p>
          <w:p>
            <w:pPr>
              <w:pStyle w:val="12"/>
              <w:spacing w:line="233" w:lineRule="exact"/>
              <w:ind w:left="117"/>
              <w:jc w:val="both"/>
              <w:rPr>
                <w:sz w:val="21"/>
              </w:rPr>
            </w:pPr>
            <w:r>
              <w:rPr>
                <w:spacing w:val="5"/>
                <w:sz w:val="21"/>
              </w:rPr>
              <w:t>《 污 水 综 合 排 放 标 准 》</w:t>
            </w:r>
          </w:p>
          <w:p>
            <w:pPr>
              <w:pStyle w:val="12"/>
              <w:spacing w:before="9" w:line="213" w:lineRule="auto"/>
              <w:ind w:left="117" w:right="81"/>
              <w:jc w:val="both"/>
              <w:rPr>
                <w:sz w:val="21"/>
              </w:rPr>
            </w:pPr>
            <w:r>
              <w:rPr>
                <w:spacing w:val="-3"/>
                <w:sz w:val="21"/>
              </w:rPr>
              <w:t>（GB8978-1996）</w:t>
            </w:r>
            <w:r>
              <w:rPr>
                <w:spacing w:val="-5"/>
                <w:sz w:val="21"/>
              </w:rPr>
              <w:t>一类污染物浓度标</w:t>
            </w:r>
            <w:r>
              <w:rPr>
                <w:spacing w:val="3"/>
                <w:sz w:val="21"/>
              </w:rPr>
              <w:t>准限值后方可接入污水管道；含有特殊污染物的污水如含高浓度盐份和其它可能抑制、影响生化处理效果的废水需要进行严格预处理，否则不得接入；生产废液按“固体废物”处置，严禁混入废水稀释排入</w:t>
            </w:r>
            <w:r>
              <w:rPr>
                <w:sz w:val="21"/>
              </w:rPr>
              <w:t>污水管网。</w:t>
            </w:r>
          </w:p>
          <w:p>
            <w:pPr>
              <w:pStyle w:val="12"/>
              <w:spacing w:before="4" w:line="213" w:lineRule="auto"/>
              <w:ind w:left="117" w:right="81"/>
              <w:jc w:val="both"/>
              <w:rPr>
                <w:sz w:val="21"/>
              </w:rPr>
            </w:pPr>
            <w:r>
              <w:rPr>
                <w:sz w:val="21"/>
              </w:rPr>
              <w:t>污水处理厂处理工艺采用二级生化处理工艺，处理出水执行《城镇污水处理厂污染物排放标准》一级 B 标准后部分外排，部分送中水系统处理后回用。</w:t>
            </w:r>
          </w:p>
        </w:tc>
        <w:tc>
          <w:tcPr>
            <w:tcW w:w="2496" w:type="dxa"/>
          </w:tcPr>
          <w:p>
            <w:pPr>
              <w:pStyle w:val="12"/>
              <w:spacing w:before="5" w:line="213" w:lineRule="auto"/>
              <w:ind w:left="119" w:right="52"/>
              <w:jc w:val="both"/>
              <w:rPr>
                <w:sz w:val="21"/>
              </w:rPr>
            </w:pPr>
            <w:r>
              <w:rPr>
                <w:sz w:val="21"/>
              </w:rPr>
              <w:t>强化园区规划跟踪评价和建设项目后评价，对长期性、累积性和不确定性环境影响突出，园区规划有重大变化，有重大环境风险或者穿越重要生态环境敏感区的重大项目， 园区和企业应积极开展环境影响跟踪评价和后评价，并据此强化后续环境管理。</w:t>
            </w:r>
          </w:p>
          <w:p>
            <w:pPr>
              <w:pStyle w:val="12"/>
              <w:spacing w:before="6" w:line="213" w:lineRule="auto"/>
              <w:ind w:left="119" w:right="52"/>
              <w:jc w:val="both"/>
              <w:rPr>
                <w:sz w:val="21"/>
              </w:rPr>
            </w:pPr>
            <w:r>
              <w:rPr>
                <w:sz w:val="21"/>
              </w:rPr>
              <w:t>全面落实园区、企业环境风险应急预案各项要求， 增强突发环境事件处置能力。按要求建设园区隔离带、绿化防护带和风险事故水池等设施，园区与企业之间要强化应急联动，形成多级环境风险管</w:t>
            </w:r>
          </w:p>
          <w:p>
            <w:pPr>
              <w:pStyle w:val="12"/>
              <w:spacing w:line="220" w:lineRule="exact"/>
              <w:ind w:left="119"/>
              <w:rPr>
                <w:sz w:val="21"/>
              </w:rPr>
            </w:pPr>
            <w:r>
              <w:rPr>
                <w:sz w:val="21"/>
              </w:rPr>
              <w:t>控体系。</w:t>
            </w:r>
          </w:p>
        </w:tc>
        <w:tc>
          <w:tcPr>
            <w:tcW w:w="3955" w:type="dxa"/>
          </w:tcPr>
          <w:p>
            <w:pPr>
              <w:pStyle w:val="12"/>
              <w:spacing w:line="213" w:lineRule="auto"/>
              <w:ind w:left="122" w:right="140"/>
              <w:jc w:val="both"/>
              <w:rPr>
                <w:sz w:val="21"/>
              </w:rPr>
            </w:pPr>
            <w:r>
              <w:rPr>
                <w:spacing w:val="-24"/>
                <w:sz w:val="21"/>
              </w:rPr>
              <w:t xml:space="preserve">亿 </w:t>
            </w:r>
            <w:r>
              <w:rPr>
                <w:sz w:val="21"/>
              </w:rPr>
              <w:t>m</w:t>
            </w:r>
            <w:r>
              <w:rPr>
                <w:position w:val="11"/>
                <w:sz w:val="11"/>
              </w:rPr>
              <w:t>3</w:t>
            </w:r>
            <w:r>
              <w:rPr>
                <w:spacing w:val="-3"/>
                <w:sz w:val="21"/>
              </w:rPr>
              <w:t>。</w:t>
            </w:r>
            <w:r>
              <w:rPr>
                <w:sz w:val="21"/>
              </w:rPr>
              <w:t>2020</w:t>
            </w:r>
            <w:r>
              <w:rPr>
                <w:spacing w:val="-4"/>
                <w:sz w:val="21"/>
              </w:rPr>
              <w:t xml:space="preserve"> 年万元国民生产总值用水量</w:t>
            </w:r>
            <w:r>
              <w:rPr>
                <w:spacing w:val="-25"/>
                <w:sz w:val="21"/>
              </w:rPr>
              <w:t xml:space="preserve">比 </w:t>
            </w:r>
            <w:r>
              <w:rPr>
                <w:sz w:val="21"/>
              </w:rPr>
              <w:t>2015</w:t>
            </w:r>
            <w:r>
              <w:rPr>
                <w:spacing w:val="-11"/>
                <w:sz w:val="21"/>
              </w:rPr>
              <w:t xml:space="preserve"> 年下降 </w:t>
            </w:r>
            <w:r>
              <w:rPr>
                <w:sz w:val="21"/>
              </w:rPr>
              <w:t>30</w:t>
            </w:r>
            <w:r>
              <w:rPr>
                <w:spacing w:val="-3"/>
                <w:sz w:val="21"/>
              </w:rPr>
              <w:t>%；万元工业增加值用</w:t>
            </w:r>
            <w:r>
              <w:rPr>
                <w:spacing w:val="-15"/>
                <w:sz w:val="21"/>
              </w:rPr>
              <w:t xml:space="preserve">水量比 </w:t>
            </w:r>
            <w:r>
              <w:rPr>
                <w:sz w:val="21"/>
              </w:rPr>
              <w:t>2015</w:t>
            </w:r>
            <w:r>
              <w:rPr>
                <w:spacing w:val="-13"/>
                <w:sz w:val="21"/>
              </w:rPr>
              <w:t xml:space="preserve"> 年下降 </w:t>
            </w:r>
            <w:r>
              <w:rPr>
                <w:sz w:val="21"/>
              </w:rPr>
              <w:t>32%。</w:t>
            </w:r>
          </w:p>
          <w:p>
            <w:pPr>
              <w:pStyle w:val="12"/>
              <w:spacing w:line="248" w:lineRule="exact"/>
              <w:ind w:left="122"/>
              <w:rPr>
                <w:sz w:val="21"/>
              </w:rPr>
            </w:pPr>
            <w:r>
              <w:rPr>
                <w:sz w:val="21"/>
              </w:rPr>
              <w:t>能源:执行黔南州能源利用普适性要求。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9" w:hRule="atLeast"/>
        </w:trPr>
        <w:tc>
          <w:tcPr>
            <w:tcW w:w="189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19"/>
              </w:rPr>
            </w:pPr>
          </w:p>
          <w:p>
            <w:pPr>
              <w:pStyle w:val="12"/>
              <w:ind w:left="97" w:right="88"/>
              <w:jc w:val="center"/>
              <w:rPr>
                <w:sz w:val="21"/>
              </w:rPr>
            </w:pPr>
            <w:r>
              <w:rPr>
                <w:sz w:val="21"/>
              </w:rPr>
              <w:t>ZH52272820003</w:t>
            </w:r>
          </w:p>
        </w:tc>
        <w:tc>
          <w:tcPr>
            <w:tcW w:w="1473"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7" w:line="213" w:lineRule="auto"/>
              <w:ind w:left="237" w:right="145" w:hanging="27"/>
              <w:rPr>
                <w:sz w:val="21"/>
              </w:rPr>
            </w:pPr>
            <w:r>
              <w:rPr>
                <w:sz w:val="21"/>
              </w:rPr>
              <w:t>罗甸县重点管控单元 2</w:t>
            </w:r>
          </w:p>
        </w:tc>
        <w:tc>
          <w:tcPr>
            <w:tcW w:w="707"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7" w:line="213" w:lineRule="auto"/>
              <w:ind w:left="248" w:right="127" w:hanging="104"/>
              <w:rPr>
                <w:sz w:val="21"/>
              </w:rPr>
            </w:pPr>
            <w:r>
              <w:rPr>
                <w:sz w:val="21"/>
              </w:rPr>
              <w:t>贵州省</w:t>
            </w:r>
          </w:p>
        </w:tc>
        <w:tc>
          <w:tcPr>
            <w:tcW w:w="1285"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7" w:line="213" w:lineRule="auto"/>
              <w:ind w:left="119" w:right="99"/>
              <w:rPr>
                <w:sz w:val="21"/>
              </w:rPr>
            </w:pPr>
            <w:r>
              <w:rPr>
                <w:sz w:val="21"/>
              </w:rPr>
              <w:t>黔南布依族苗族自治州</w:t>
            </w:r>
          </w:p>
        </w:tc>
        <w:tc>
          <w:tcPr>
            <w:tcW w:w="84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19"/>
              </w:rPr>
            </w:pPr>
          </w:p>
          <w:p>
            <w:pPr>
              <w:pStyle w:val="12"/>
              <w:ind w:left="111"/>
              <w:rPr>
                <w:sz w:val="21"/>
              </w:rPr>
            </w:pPr>
            <w:r>
              <w:rPr>
                <w:sz w:val="21"/>
              </w:rPr>
              <w:t>罗甸县</w:t>
            </w:r>
          </w:p>
        </w:tc>
        <w:tc>
          <w:tcPr>
            <w:tcW w:w="1474"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19"/>
              </w:rPr>
            </w:pPr>
          </w:p>
          <w:p>
            <w:pPr>
              <w:pStyle w:val="12"/>
              <w:ind w:left="94" w:right="70"/>
              <w:jc w:val="center"/>
              <w:rPr>
                <w:sz w:val="21"/>
              </w:rPr>
            </w:pPr>
            <w:r>
              <w:rPr>
                <w:sz w:val="21"/>
              </w:rPr>
              <w:t>重点管控单元</w:t>
            </w:r>
          </w:p>
        </w:tc>
        <w:tc>
          <w:tcPr>
            <w:tcW w:w="3051" w:type="dxa"/>
          </w:tcPr>
          <w:p>
            <w:pPr>
              <w:pStyle w:val="12"/>
              <w:rPr>
                <w:b/>
                <w:sz w:val="20"/>
              </w:rPr>
            </w:pPr>
          </w:p>
          <w:p>
            <w:pPr>
              <w:pStyle w:val="12"/>
              <w:rPr>
                <w:b/>
                <w:sz w:val="20"/>
              </w:rPr>
            </w:pPr>
          </w:p>
          <w:p>
            <w:pPr>
              <w:pStyle w:val="12"/>
              <w:rPr>
                <w:b/>
                <w:sz w:val="20"/>
              </w:rPr>
            </w:pPr>
          </w:p>
          <w:p>
            <w:pPr>
              <w:pStyle w:val="12"/>
              <w:rPr>
                <w:b/>
                <w:sz w:val="20"/>
              </w:rPr>
            </w:pPr>
          </w:p>
          <w:p>
            <w:pPr>
              <w:pStyle w:val="12"/>
              <w:spacing w:before="180" w:line="213" w:lineRule="auto"/>
              <w:ind w:left="115" w:right="87"/>
              <w:rPr>
                <w:sz w:val="21"/>
              </w:rPr>
            </w:pPr>
            <w:r>
              <w:rPr>
                <w:sz w:val="21"/>
              </w:rPr>
              <w:t>执行当地高污染燃料禁燃区的要求。</w:t>
            </w:r>
          </w:p>
          <w:p>
            <w:pPr>
              <w:pStyle w:val="12"/>
              <w:spacing w:before="1" w:line="213" w:lineRule="auto"/>
              <w:ind w:left="115" w:right="84"/>
              <w:jc w:val="both"/>
              <w:rPr>
                <w:sz w:val="21"/>
              </w:rPr>
            </w:pPr>
            <w:r>
              <w:rPr>
                <w:spacing w:val="5"/>
                <w:sz w:val="21"/>
              </w:rPr>
              <w:t>大气环境受体敏感重点管控区</w:t>
            </w:r>
            <w:r>
              <w:rPr>
                <w:spacing w:val="-13"/>
                <w:sz w:val="21"/>
              </w:rPr>
              <w:t>执行省、州普适性总体管控要求</w:t>
            </w:r>
            <w:r>
              <w:rPr>
                <w:sz w:val="21"/>
              </w:rPr>
              <w:t>执行省</w:t>
            </w:r>
            <w:r>
              <w:rPr>
                <w:spacing w:val="-3"/>
                <w:sz w:val="21"/>
              </w:rPr>
              <w:t>/</w:t>
            </w:r>
            <w:r>
              <w:rPr>
                <w:spacing w:val="-5"/>
                <w:sz w:val="21"/>
              </w:rPr>
              <w:t>黔南州水要素普适性要</w:t>
            </w:r>
            <w:r>
              <w:rPr>
                <w:sz w:val="21"/>
              </w:rPr>
              <w:t>求</w:t>
            </w:r>
          </w:p>
        </w:tc>
        <w:tc>
          <w:tcPr>
            <w:tcW w:w="3451" w:type="dxa"/>
          </w:tcPr>
          <w:p>
            <w:pPr>
              <w:pStyle w:val="12"/>
              <w:rPr>
                <w:b/>
                <w:sz w:val="20"/>
              </w:rPr>
            </w:pPr>
          </w:p>
          <w:p>
            <w:pPr>
              <w:pStyle w:val="12"/>
              <w:rPr>
                <w:b/>
                <w:sz w:val="20"/>
              </w:rPr>
            </w:pPr>
          </w:p>
          <w:p>
            <w:pPr>
              <w:pStyle w:val="12"/>
              <w:rPr>
                <w:b/>
                <w:sz w:val="20"/>
              </w:rPr>
            </w:pPr>
          </w:p>
          <w:p>
            <w:pPr>
              <w:pStyle w:val="12"/>
              <w:rPr>
                <w:b/>
                <w:sz w:val="20"/>
              </w:rPr>
            </w:pPr>
          </w:p>
          <w:p>
            <w:pPr>
              <w:pStyle w:val="12"/>
              <w:spacing w:before="5"/>
              <w:rPr>
                <w:b/>
                <w:sz w:val="23"/>
              </w:rPr>
            </w:pPr>
          </w:p>
          <w:p>
            <w:pPr>
              <w:pStyle w:val="12"/>
              <w:spacing w:line="213" w:lineRule="auto"/>
              <w:ind w:left="117" w:right="81"/>
              <w:jc w:val="both"/>
              <w:rPr>
                <w:sz w:val="21"/>
              </w:rPr>
            </w:pPr>
            <w:r>
              <w:rPr>
                <w:sz w:val="21"/>
              </w:rPr>
              <w:t>执行省及黔南州大气要素普适性要求。统筹安排城乡生活垃圾和污水收集、处置设施的布局、用地和规模，加大农村生活垃圾收集力度， 扩大收集覆盖面。</w:t>
            </w:r>
          </w:p>
        </w:tc>
        <w:tc>
          <w:tcPr>
            <w:tcW w:w="249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7" w:line="213" w:lineRule="auto"/>
              <w:ind w:left="119" w:right="60"/>
              <w:rPr>
                <w:sz w:val="21"/>
              </w:rPr>
            </w:pPr>
            <w:r>
              <w:rPr>
                <w:sz w:val="21"/>
              </w:rPr>
              <w:t>执行贵州省土壤普适性管控要求</w:t>
            </w:r>
          </w:p>
        </w:tc>
        <w:tc>
          <w:tcPr>
            <w:tcW w:w="3955" w:type="dxa"/>
          </w:tcPr>
          <w:p>
            <w:pPr>
              <w:pStyle w:val="12"/>
              <w:spacing w:before="7" w:line="211" w:lineRule="auto"/>
              <w:ind w:left="122" w:right="112"/>
              <w:jc w:val="both"/>
              <w:rPr>
                <w:sz w:val="21"/>
              </w:rPr>
            </w:pPr>
            <w:r>
              <w:rPr>
                <w:spacing w:val="-1"/>
                <w:sz w:val="21"/>
              </w:rPr>
              <w:t>水资源：</w:t>
            </w:r>
            <w:r>
              <w:rPr>
                <w:sz w:val="21"/>
              </w:rPr>
              <w:t>2020</w:t>
            </w:r>
            <w:r>
              <w:rPr>
                <w:spacing w:val="-13"/>
                <w:sz w:val="21"/>
              </w:rPr>
              <w:t xml:space="preserve"> 年，用水总量控制在 </w:t>
            </w:r>
            <w:r>
              <w:rPr>
                <w:sz w:val="21"/>
              </w:rPr>
              <w:t xml:space="preserve">0.90 </w:t>
            </w:r>
            <w:r>
              <w:rPr>
                <w:spacing w:val="-25"/>
                <w:sz w:val="21"/>
              </w:rPr>
              <w:t xml:space="preserve">亿 </w:t>
            </w:r>
            <w:r>
              <w:rPr>
                <w:sz w:val="21"/>
              </w:rPr>
              <w:t>m</w:t>
            </w:r>
            <w:r>
              <w:rPr>
                <w:position w:val="11"/>
                <w:sz w:val="11"/>
              </w:rPr>
              <w:t xml:space="preserve">3 </w:t>
            </w:r>
            <w:r>
              <w:rPr>
                <w:spacing w:val="-2"/>
                <w:sz w:val="21"/>
              </w:rPr>
              <w:t>以内，</w:t>
            </w:r>
            <w:r>
              <w:rPr>
                <w:sz w:val="21"/>
              </w:rPr>
              <w:t>2030</w:t>
            </w:r>
            <w:r>
              <w:rPr>
                <w:spacing w:val="-13"/>
                <w:sz w:val="21"/>
              </w:rPr>
              <w:t xml:space="preserve"> 年用水总量控制在 </w:t>
            </w:r>
            <w:r>
              <w:rPr>
                <w:sz w:val="21"/>
              </w:rPr>
              <w:t xml:space="preserve">0.67 </w:t>
            </w:r>
            <w:r>
              <w:rPr>
                <w:spacing w:val="-24"/>
                <w:sz w:val="21"/>
              </w:rPr>
              <w:t xml:space="preserve">亿 </w:t>
            </w:r>
            <w:r>
              <w:rPr>
                <w:sz w:val="21"/>
              </w:rPr>
              <w:t>m</w:t>
            </w:r>
            <w:r>
              <w:rPr>
                <w:position w:val="11"/>
                <w:sz w:val="11"/>
              </w:rPr>
              <w:t>3</w:t>
            </w:r>
            <w:r>
              <w:rPr>
                <w:spacing w:val="-3"/>
                <w:sz w:val="21"/>
              </w:rPr>
              <w:t>。</w:t>
            </w:r>
            <w:r>
              <w:rPr>
                <w:sz w:val="21"/>
              </w:rPr>
              <w:t>2020</w:t>
            </w:r>
            <w:r>
              <w:rPr>
                <w:spacing w:val="-3"/>
                <w:sz w:val="21"/>
              </w:rPr>
              <w:t xml:space="preserve"> 年万元国民生产总值用水量</w:t>
            </w:r>
            <w:r>
              <w:rPr>
                <w:spacing w:val="-27"/>
                <w:sz w:val="21"/>
              </w:rPr>
              <w:t xml:space="preserve">比 </w:t>
            </w:r>
            <w:r>
              <w:rPr>
                <w:sz w:val="21"/>
              </w:rPr>
              <w:t>2015</w:t>
            </w:r>
            <w:r>
              <w:rPr>
                <w:spacing w:val="-11"/>
                <w:sz w:val="21"/>
              </w:rPr>
              <w:t xml:space="preserve"> 年下降 </w:t>
            </w:r>
            <w:r>
              <w:rPr>
                <w:sz w:val="21"/>
              </w:rPr>
              <w:t>30</w:t>
            </w:r>
            <w:r>
              <w:rPr>
                <w:spacing w:val="-3"/>
                <w:sz w:val="21"/>
              </w:rPr>
              <w:t>%；万元工业增加值用</w:t>
            </w:r>
            <w:r>
              <w:rPr>
                <w:spacing w:val="-15"/>
                <w:sz w:val="21"/>
              </w:rPr>
              <w:t xml:space="preserve">水量比 </w:t>
            </w:r>
            <w:r>
              <w:rPr>
                <w:sz w:val="21"/>
              </w:rPr>
              <w:t>2015</w:t>
            </w:r>
            <w:r>
              <w:rPr>
                <w:spacing w:val="-13"/>
                <w:sz w:val="21"/>
              </w:rPr>
              <w:t xml:space="preserve"> 年下降 </w:t>
            </w:r>
            <w:r>
              <w:rPr>
                <w:sz w:val="21"/>
              </w:rPr>
              <w:t>32%。</w:t>
            </w:r>
          </w:p>
          <w:p>
            <w:pPr>
              <w:pStyle w:val="12"/>
              <w:spacing w:line="213" w:lineRule="auto"/>
              <w:ind w:left="122" w:right="-15"/>
              <w:rPr>
                <w:sz w:val="21"/>
              </w:rPr>
            </w:pPr>
            <w:r>
              <w:rPr>
                <w:spacing w:val="-3"/>
                <w:sz w:val="21"/>
              </w:rPr>
              <w:t>能源:执行黔南州能源利用普适性要求。</w:t>
            </w:r>
            <w:r>
              <w:rPr>
                <w:spacing w:val="-10"/>
                <w:sz w:val="21"/>
              </w:rPr>
              <w:t xml:space="preserve">其他资源：至 </w:t>
            </w:r>
            <w:r>
              <w:rPr>
                <w:sz w:val="21"/>
              </w:rPr>
              <w:t>2020</w:t>
            </w:r>
            <w:r>
              <w:rPr>
                <w:spacing w:val="-8"/>
                <w:sz w:val="21"/>
              </w:rPr>
              <w:t xml:space="preserve"> 年，全县人均城镇工</w:t>
            </w:r>
            <w:r>
              <w:rPr>
                <w:spacing w:val="-13"/>
                <w:sz w:val="21"/>
              </w:rPr>
              <w:t xml:space="preserve">矿用地规模 </w:t>
            </w:r>
            <w:r>
              <w:rPr>
                <w:sz w:val="21"/>
              </w:rPr>
              <w:t>137m2</w:t>
            </w:r>
            <w:r>
              <w:rPr>
                <w:spacing w:val="-14"/>
                <w:sz w:val="21"/>
              </w:rPr>
              <w:t xml:space="preserve">，亿元 </w:t>
            </w:r>
            <w:r>
              <w:rPr>
                <w:sz w:val="21"/>
              </w:rPr>
              <w:t>GDP</w:t>
            </w:r>
            <w:r>
              <w:rPr>
                <w:spacing w:val="-10"/>
                <w:sz w:val="21"/>
              </w:rPr>
              <w:t xml:space="preserve"> 耗地量不高</w:t>
            </w:r>
            <w:r>
              <w:rPr>
                <w:spacing w:val="-31"/>
                <w:sz w:val="21"/>
              </w:rPr>
              <w:t xml:space="preserve">于 </w:t>
            </w:r>
            <w:r>
              <w:rPr>
                <w:sz w:val="21"/>
              </w:rPr>
              <w:t>256</w:t>
            </w:r>
            <w:r>
              <w:rPr>
                <w:spacing w:val="-19"/>
                <w:sz w:val="21"/>
              </w:rPr>
              <w:t xml:space="preserve"> 公顷</w:t>
            </w:r>
            <w:r>
              <w:rPr>
                <w:sz w:val="21"/>
              </w:rPr>
              <w:t>/</w:t>
            </w:r>
            <w:r>
              <w:rPr>
                <w:spacing w:val="-3"/>
                <w:sz w:val="21"/>
              </w:rPr>
              <w:t>亿元，耕地保有量不低于35554ha</w:t>
            </w:r>
            <w:r>
              <w:rPr>
                <w:spacing w:val="-7"/>
                <w:sz w:val="21"/>
              </w:rPr>
              <w:t xml:space="preserve">，规划基本农田不低于 </w:t>
            </w:r>
            <w:r>
              <w:rPr>
                <w:spacing w:val="-3"/>
                <w:sz w:val="21"/>
              </w:rPr>
              <w:t>45893ha， 建设用地总规模不高于</w:t>
            </w:r>
            <w:r>
              <w:rPr>
                <w:spacing w:val="-53"/>
                <w:sz w:val="21"/>
              </w:rPr>
              <w:t xml:space="preserve"> </w:t>
            </w:r>
            <w:r>
              <w:rPr>
                <w:spacing w:val="-3"/>
                <w:sz w:val="21"/>
              </w:rPr>
              <w:t>63</w:t>
            </w:r>
            <w:r>
              <w:rPr>
                <w:sz w:val="21"/>
              </w:rPr>
              <w:t>33h</w:t>
            </w:r>
            <w:r>
              <w:rPr>
                <w:spacing w:val="-1"/>
                <w:sz w:val="21"/>
              </w:rPr>
              <w:t>a</w:t>
            </w:r>
            <w:r>
              <w:rPr>
                <w:spacing w:val="-21"/>
                <w:sz w:val="21"/>
              </w:rPr>
              <w:t>，新增建设</w:t>
            </w:r>
            <w:r>
              <w:rPr>
                <w:spacing w:val="-13"/>
                <w:sz w:val="21"/>
              </w:rPr>
              <w:t xml:space="preserve">占用农用地不高于 </w:t>
            </w:r>
            <w:r>
              <w:rPr>
                <w:sz w:val="21"/>
              </w:rPr>
              <w:t>1113.37ha</w:t>
            </w:r>
            <w:r>
              <w:rPr>
                <w:spacing w:val="-1"/>
                <w:sz w:val="21"/>
              </w:rPr>
              <w:t>，新增建设</w:t>
            </w:r>
            <w:r>
              <w:rPr>
                <w:spacing w:val="-9"/>
                <w:sz w:val="21"/>
              </w:rPr>
              <w:t xml:space="preserve">占用耕地不高于 </w:t>
            </w:r>
            <w:r>
              <w:rPr>
                <w:sz w:val="21"/>
              </w:rPr>
              <w:t>902.32ha</w:t>
            </w:r>
            <w:r>
              <w:rPr>
                <w:spacing w:val="-2"/>
                <w:sz w:val="21"/>
              </w:rPr>
              <w:t>，园地不低于6717</w:t>
            </w:r>
            <w:r>
              <w:rPr>
                <w:spacing w:val="3"/>
                <w:sz w:val="21"/>
              </w:rPr>
              <w:t xml:space="preserve"> </w:t>
            </w:r>
            <w:r>
              <w:rPr>
                <w:spacing w:val="-3"/>
                <w:sz w:val="21"/>
              </w:rPr>
              <w:t>ha</w:t>
            </w:r>
            <w:r>
              <w:rPr>
                <w:spacing w:val="-10"/>
                <w:sz w:val="21"/>
              </w:rPr>
              <w:t xml:space="preserve">，林地不低于 </w:t>
            </w:r>
            <w:r>
              <w:rPr>
                <w:sz w:val="21"/>
              </w:rPr>
              <w:t>171473.53</w:t>
            </w:r>
            <w:r>
              <w:rPr>
                <w:spacing w:val="1"/>
                <w:sz w:val="21"/>
              </w:rPr>
              <w:t xml:space="preserve"> </w:t>
            </w:r>
            <w:r>
              <w:rPr>
                <w:sz w:val="21"/>
              </w:rPr>
              <w:t>ha，牧</w:t>
            </w:r>
          </w:p>
          <w:p>
            <w:pPr>
              <w:pStyle w:val="12"/>
              <w:spacing w:line="240" w:lineRule="exact"/>
              <w:ind w:left="122" w:right="76"/>
              <w:rPr>
                <w:sz w:val="21"/>
              </w:rPr>
            </w:pPr>
            <w:r>
              <w:rPr>
                <w:spacing w:val="-11"/>
                <w:sz w:val="21"/>
              </w:rPr>
              <w:t xml:space="preserve">草地不低于 </w:t>
            </w:r>
            <w:r>
              <w:rPr>
                <w:sz w:val="21"/>
              </w:rPr>
              <w:t>200</w:t>
            </w:r>
            <w:r>
              <w:rPr>
                <w:spacing w:val="55"/>
                <w:sz w:val="21"/>
              </w:rPr>
              <w:t xml:space="preserve"> </w:t>
            </w:r>
            <w:r>
              <w:rPr>
                <w:spacing w:val="-8"/>
                <w:sz w:val="21"/>
              </w:rPr>
              <w:t>ha</w:t>
            </w:r>
            <w:r>
              <w:rPr>
                <w:spacing w:val="-20"/>
                <w:sz w:val="21"/>
              </w:rPr>
              <w:t xml:space="preserve">，到 </w:t>
            </w:r>
            <w:r>
              <w:rPr>
                <w:sz w:val="21"/>
              </w:rPr>
              <w:t>2020</w:t>
            </w:r>
            <w:r>
              <w:rPr>
                <w:spacing w:val="-14"/>
                <w:sz w:val="21"/>
              </w:rPr>
              <w:t xml:space="preserve"> 年，国土空</w:t>
            </w:r>
            <w:r>
              <w:rPr>
                <w:spacing w:val="-13"/>
                <w:sz w:val="21"/>
              </w:rPr>
              <w:t xml:space="preserve">间开发强度控制在 </w:t>
            </w:r>
            <w:r>
              <w:rPr>
                <w:sz w:val="21"/>
              </w:rPr>
              <w:t>4.2</w:t>
            </w:r>
            <w:r>
              <w:rPr>
                <w:spacing w:val="-2"/>
                <w:sz w:val="21"/>
              </w:rPr>
              <w:t>%以内。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4" w:hRule="atLeast"/>
        </w:trPr>
        <w:tc>
          <w:tcPr>
            <w:tcW w:w="189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15"/>
              </w:rPr>
            </w:pPr>
          </w:p>
          <w:p>
            <w:pPr>
              <w:pStyle w:val="12"/>
              <w:ind w:left="97" w:right="88"/>
              <w:jc w:val="center"/>
              <w:rPr>
                <w:sz w:val="21"/>
              </w:rPr>
            </w:pPr>
            <w:r>
              <w:rPr>
                <w:sz w:val="21"/>
              </w:rPr>
              <w:t>ZH52272820004</w:t>
            </w:r>
          </w:p>
        </w:tc>
        <w:tc>
          <w:tcPr>
            <w:tcW w:w="1473"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18"/>
              </w:rPr>
            </w:pPr>
          </w:p>
          <w:p>
            <w:pPr>
              <w:pStyle w:val="12"/>
              <w:spacing w:line="213" w:lineRule="auto"/>
              <w:ind w:left="211" w:right="195"/>
              <w:jc w:val="center"/>
              <w:rPr>
                <w:sz w:val="21"/>
              </w:rPr>
            </w:pPr>
            <w:r>
              <w:rPr>
                <w:sz w:val="21"/>
              </w:rPr>
              <w:t>罗甸县矿产资源重点管控单元</w:t>
            </w:r>
          </w:p>
        </w:tc>
        <w:tc>
          <w:tcPr>
            <w:tcW w:w="707"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7"/>
              </w:rPr>
            </w:pPr>
          </w:p>
          <w:p>
            <w:pPr>
              <w:pStyle w:val="12"/>
              <w:spacing w:line="213" w:lineRule="auto"/>
              <w:ind w:left="248" w:right="127" w:hanging="104"/>
              <w:rPr>
                <w:sz w:val="21"/>
              </w:rPr>
            </w:pPr>
            <w:r>
              <w:rPr>
                <w:sz w:val="21"/>
              </w:rPr>
              <w:t>贵州省</w:t>
            </w:r>
          </w:p>
        </w:tc>
        <w:tc>
          <w:tcPr>
            <w:tcW w:w="1285"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8"/>
              <w:rPr>
                <w:b/>
                <w:sz w:val="27"/>
              </w:rPr>
            </w:pPr>
          </w:p>
          <w:p>
            <w:pPr>
              <w:pStyle w:val="12"/>
              <w:spacing w:line="213" w:lineRule="auto"/>
              <w:ind w:left="119" w:right="99"/>
              <w:rPr>
                <w:sz w:val="21"/>
              </w:rPr>
            </w:pPr>
            <w:r>
              <w:rPr>
                <w:sz w:val="21"/>
              </w:rPr>
              <w:t>黔南布依族苗族自治州</w:t>
            </w:r>
          </w:p>
        </w:tc>
        <w:tc>
          <w:tcPr>
            <w:tcW w:w="846"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15"/>
              </w:rPr>
            </w:pPr>
          </w:p>
          <w:p>
            <w:pPr>
              <w:pStyle w:val="12"/>
              <w:ind w:left="111"/>
              <w:rPr>
                <w:sz w:val="21"/>
              </w:rPr>
            </w:pPr>
            <w:r>
              <w:rPr>
                <w:sz w:val="21"/>
              </w:rPr>
              <w:t>罗甸县</w:t>
            </w:r>
          </w:p>
        </w:tc>
        <w:tc>
          <w:tcPr>
            <w:tcW w:w="1474"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15"/>
              </w:rPr>
            </w:pPr>
          </w:p>
          <w:p>
            <w:pPr>
              <w:pStyle w:val="12"/>
              <w:ind w:left="94" w:right="70"/>
              <w:jc w:val="center"/>
              <w:rPr>
                <w:sz w:val="21"/>
              </w:rPr>
            </w:pPr>
            <w:r>
              <w:rPr>
                <w:sz w:val="21"/>
              </w:rPr>
              <w:t>重点管控单元</w:t>
            </w:r>
          </w:p>
        </w:tc>
        <w:tc>
          <w:tcPr>
            <w:tcW w:w="3051" w:type="dxa"/>
          </w:tcPr>
          <w:p>
            <w:pPr>
              <w:pStyle w:val="12"/>
              <w:rPr>
                <w:b/>
                <w:sz w:val="20"/>
              </w:rPr>
            </w:pPr>
          </w:p>
          <w:p>
            <w:pPr>
              <w:pStyle w:val="12"/>
              <w:spacing w:before="9"/>
              <w:rPr>
                <w:b/>
                <w:sz w:val="26"/>
              </w:rPr>
            </w:pPr>
          </w:p>
          <w:p>
            <w:pPr>
              <w:pStyle w:val="12"/>
              <w:spacing w:line="213" w:lineRule="auto"/>
              <w:ind w:left="115" w:right="-29"/>
              <w:rPr>
                <w:sz w:val="21"/>
              </w:rPr>
            </w:pPr>
            <w:r>
              <w:rPr>
                <w:spacing w:val="-12"/>
                <w:sz w:val="21"/>
              </w:rPr>
              <w:t>①煤炭参照《煤炭行业绿色矿山</w:t>
            </w:r>
            <w:r>
              <w:rPr>
                <w:spacing w:val="-28"/>
                <w:sz w:val="21"/>
              </w:rPr>
              <w:t>建设规范》</w:t>
            </w:r>
            <w:r>
              <w:rPr>
                <w:spacing w:val="-1"/>
                <w:sz w:val="21"/>
              </w:rPr>
              <w:t>（</w:t>
            </w:r>
            <w:r>
              <w:rPr>
                <w:sz w:val="21"/>
              </w:rPr>
              <w:t>DZ</w:t>
            </w:r>
            <w:r>
              <w:rPr>
                <w:spacing w:val="-3"/>
                <w:sz w:val="21"/>
              </w:rPr>
              <w:t>/</w:t>
            </w:r>
            <w:r>
              <w:rPr>
                <w:sz w:val="21"/>
              </w:rPr>
              <w:t>T 0</w:t>
            </w:r>
            <w:r>
              <w:rPr>
                <w:spacing w:val="-3"/>
                <w:sz w:val="21"/>
              </w:rPr>
              <w:t>3</w:t>
            </w:r>
            <w:r>
              <w:rPr>
                <w:sz w:val="21"/>
              </w:rPr>
              <w:t>1</w:t>
            </w:r>
            <w:r>
              <w:rPr>
                <w:spacing w:val="-1"/>
                <w:sz w:val="21"/>
              </w:rPr>
              <w:t>5</w:t>
            </w:r>
            <w:r>
              <w:rPr>
                <w:sz w:val="21"/>
              </w:rPr>
              <w:t>-</w:t>
            </w:r>
            <w:r>
              <w:rPr>
                <w:spacing w:val="-3"/>
                <w:sz w:val="21"/>
              </w:rPr>
              <w:t>20</w:t>
            </w:r>
            <w:r>
              <w:rPr>
                <w:sz w:val="21"/>
              </w:rPr>
              <w:t>1</w:t>
            </w:r>
            <w:r>
              <w:rPr>
                <w:spacing w:val="-1"/>
                <w:sz w:val="21"/>
              </w:rPr>
              <w:t>8</w:t>
            </w:r>
            <w:r>
              <w:rPr>
                <w:spacing w:val="-106"/>
                <w:sz w:val="21"/>
              </w:rPr>
              <w:t>）；</w:t>
            </w:r>
            <w:r>
              <w:rPr>
                <w:spacing w:val="-12"/>
                <w:sz w:val="21"/>
              </w:rPr>
              <w:t>砂石矿参照《砂石行业绿色矿山</w:t>
            </w:r>
            <w:r>
              <w:rPr>
                <w:spacing w:val="-27"/>
                <w:sz w:val="21"/>
              </w:rPr>
              <w:t>建设规范》</w:t>
            </w:r>
            <w:r>
              <w:rPr>
                <w:sz w:val="21"/>
              </w:rPr>
              <w:t xml:space="preserve">（DZ/T 0316-2018） </w:t>
            </w:r>
            <w:r>
              <w:rPr>
                <w:spacing w:val="-12"/>
                <w:sz w:val="21"/>
              </w:rPr>
              <w:t>建设、管理。②煤矿矿区应对露</w:t>
            </w:r>
            <w:r>
              <w:rPr>
                <w:spacing w:val="5"/>
                <w:sz w:val="21"/>
              </w:rPr>
              <w:t>天开采矿山的排土场进行复垦</w:t>
            </w:r>
            <w:r>
              <w:rPr>
                <w:spacing w:val="-12"/>
                <w:sz w:val="21"/>
              </w:rPr>
              <w:t>和绿化，矿区专用道路两侧因地</w:t>
            </w:r>
            <w:r>
              <w:rPr>
                <w:spacing w:val="-13"/>
                <w:sz w:val="21"/>
              </w:rPr>
              <w:t>制宜设置隔离绿化带，及时治理恢复矿山地质环境，复垦矿山占用土地和损毁土地。③合法露天</w:t>
            </w:r>
            <w:r>
              <w:rPr>
                <w:spacing w:val="5"/>
                <w:sz w:val="21"/>
              </w:rPr>
              <w:t>开采的矿山企业在线视频监管</w:t>
            </w:r>
            <w:r>
              <w:rPr>
                <w:spacing w:val="-12"/>
                <w:sz w:val="21"/>
              </w:rPr>
              <w:t>工程。依法取缔城市周边非法采</w:t>
            </w:r>
            <w:r>
              <w:rPr>
                <w:spacing w:val="-19"/>
                <w:sz w:val="21"/>
              </w:rPr>
              <w:t>矿、采石和采砂企业。大型煤堆、</w:t>
            </w:r>
            <w:r>
              <w:rPr>
                <w:spacing w:val="5"/>
                <w:sz w:val="21"/>
              </w:rPr>
              <w:t>料堆场建设封闭储存设施或抑</w:t>
            </w:r>
            <w:r>
              <w:rPr>
                <w:spacing w:val="-18"/>
                <w:sz w:val="21"/>
              </w:rPr>
              <w:t>尘设施。④限制开发高硫、高砷、</w:t>
            </w:r>
            <w:r>
              <w:rPr>
                <w:spacing w:val="-14"/>
                <w:sz w:val="21"/>
              </w:rPr>
              <w:t>高灰、高氟等对生态环境影响较</w:t>
            </w:r>
            <w:r>
              <w:rPr>
                <w:spacing w:val="-6"/>
                <w:sz w:val="21"/>
              </w:rPr>
              <w:t>大的煤炭资源。</w:t>
            </w:r>
          </w:p>
        </w:tc>
        <w:tc>
          <w:tcPr>
            <w:tcW w:w="3451" w:type="dxa"/>
          </w:tcPr>
          <w:p>
            <w:pPr>
              <w:pStyle w:val="12"/>
              <w:spacing w:line="213" w:lineRule="auto"/>
              <w:ind w:left="117" w:right="81"/>
              <w:jc w:val="both"/>
              <w:rPr>
                <w:sz w:val="21"/>
              </w:rPr>
            </w:pPr>
            <w:r>
              <w:rPr>
                <w:spacing w:val="3"/>
                <w:sz w:val="21"/>
              </w:rPr>
              <w:t>煤炭开采执行《煤炭工业污染物排</w:t>
            </w:r>
            <w:r>
              <w:rPr>
                <w:spacing w:val="6"/>
                <w:sz w:val="21"/>
              </w:rPr>
              <w:t>放标准》</w:t>
            </w:r>
            <w:r>
              <w:rPr>
                <w:sz w:val="21"/>
              </w:rPr>
              <w:t>(GB 20426—2006</w:t>
            </w:r>
            <w:r>
              <w:rPr>
                <w:spacing w:val="1"/>
                <w:sz w:val="21"/>
              </w:rPr>
              <w:t>)；铁矿</w:t>
            </w:r>
            <w:r>
              <w:rPr>
                <w:spacing w:val="3"/>
                <w:sz w:val="21"/>
              </w:rPr>
              <w:t>开采执行《铁矿采选工业污染物排</w:t>
            </w:r>
            <w:r>
              <w:rPr>
                <w:spacing w:val="-29"/>
                <w:sz w:val="21"/>
              </w:rPr>
              <w:t>放标准》</w:t>
            </w:r>
            <w:r>
              <w:rPr>
                <w:spacing w:val="-1"/>
                <w:sz w:val="21"/>
              </w:rPr>
              <w:t>（</w:t>
            </w:r>
            <w:r>
              <w:rPr>
                <w:sz w:val="21"/>
              </w:rPr>
              <w:t>G</w:t>
            </w:r>
            <w:r>
              <w:rPr>
                <w:spacing w:val="-3"/>
                <w:sz w:val="21"/>
              </w:rPr>
              <w:t>B</w:t>
            </w:r>
            <w:r>
              <w:rPr>
                <w:sz w:val="21"/>
              </w:rPr>
              <w:t>2866</w:t>
            </w:r>
            <w:r>
              <w:rPr>
                <w:spacing w:val="-3"/>
                <w:sz w:val="21"/>
              </w:rPr>
              <w:t>1</w:t>
            </w:r>
            <w:r>
              <w:rPr>
                <w:sz w:val="21"/>
              </w:rPr>
              <w:t>-20</w:t>
            </w:r>
            <w:r>
              <w:rPr>
                <w:spacing w:val="-3"/>
                <w:sz w:val="21"/>
              </w:rPr>
              <w:t>1</w:t>
            </w:r>
            <w:r>
              <w:rPr>
                <w:spacing w:val="-1"/>
                <w:sz w:val="21"/>
              </w:rPr>
              <w:t>2</w:t>
            </w:r>
            <w:r>
              <w:rPr>
                <w:spacing w:val="-108"/>
                <w:sz w:val="21"/>
              </w:rPr>
              <w:t>）</w:t>
            </w:r>
            <w:r>
              <w:rPr>
                <w:sz w:val="21"/>
              </w:rPr>
              <w:t xml:space="preserve">； </w:t>
            </w:r>
            <w:r>
              <w:rPr>
                <w:spacing w:val="-6"/>
                <w:sz w:val="21"/>
              </w:rPr>
              <w:t>其他执</w:t>
            </w:r>
            <w:r>
              <w:rPr>
                <w:spacing w:val="3"/>
                <w:sz w:val="21"/>
              </w:rPr>
              <w:t>行贵州省大气污染物、水污染物排</w:t>
            </w:r>
            <w:r>
              <w:rPr>
                <w:spacing w:val="-2"/>
                <w:sz w:val="21"/>
              </w:rPr>
              <w:t>放普适性管控要求。</w:t>
            </w:r>
          </w:p>
          <w:p>
            <w:pPr>
              <w:pStyle w:val="12"/>
              <w:spacing w:before="2" w:line="213" w:lineRule="auto"/>
              <w:ind w:left="117" w:right="81"/>
              <w:jc w:val="both"/>
              <w:rPr>
                <w:sz w:val="21"/>
              </w:rPr>
            </w:pPr>
            <w:r>
              <w:rPr>
                <w:spacing w:val="3"/>
                <w:sz w:val="21"/>
              </w:rPr>
              <w:t>①大中型煤矿地面运煤系统、运输设备、煤炭贮存场所应全封闭，煤炭运输、贮存未达到全封闭管理的小型煤矿应设置挡风抑尘和洒水喷淋装置进行防尘。②煤炭工业废水有毒污染物排放、采煤废水污染物排放、选煤废水污染物排放应符合GB20426-2006</w:t>
            </w:r>
            <w:r>
              <w:rPr>
                <w:spacing w:val="-5"/>
                <w:sz w:val="21"/>
              </w:rPr>
              <w:t xml:space="preserve"> 规定。③控制重金属</w:t>
            </w:r>
            <w:r>
              <w:rPr>
                <w:spacing w:val="3"/>
                <w:sz w:val="21"/>
              </w:rPr>
              <w:t>污染源，在重金属污染源区设置自动监测系统，有色金属矿山应符合GB25467</w:t>
            </w:r>
            <w:r>
              <w:rPr>
                <w:spacing w:val="-34"/>
                <w:sz w:val="21"/>
              </w:rPr>
              <w:t>、</w:t>
            </w:r>
            <w:r>
              <w:rPr>
                <w:sz w:val="21"/>
              </w:rPr>
              <w:t>GB25466</w:t>
            </w:r>
            <w:r>
              <w:rPr>
                <w:spacing w:val="-36"/>
                <w:sz w:val="21"/>
              </w:rPr>
              <w:t>、</w:t>
            </w:r>
            <w:r>
              <w:rPr>
                <w:sz w:val="21"/>
              </w:rPr>
              <w:t>GB30700</w:t>
            </w:r>
            <w:r>
              <w:rPr>
                <w:spacing w:val="-18"/>
                <w:sz w:val="21"/>
              </w:rPr>
              <w:t xml:space="preserve"> 规定的</w:t>
            </w:r>
          </w:p>
          <w:p>
            <w:pPr>
              <w:pStyle w:val="12"/>
              <w:spacing w:before="2" w:line="240" w:lineRule="exact"/>
              <w:ind w:left="117" w:right="81"/>
              <w:jc w:val="both"/>
              <w:rPr>
                <w:sz w:val="21"/>
              </w:rPr>
            </w:pPr>
            <w:r>
              <w:rPr>
                <w:spacing w:val="3"/>
                <w:sz w:val="21"/>
              </w:rPr>
              <w:t>要求。④露天开采矿山废石综合利</w:t>
            </w:r>
            <w:r>
              <w:rPr>
                <w:spacing w:val="-2"/>
                <w:sz w:val="21"/>
              </w:rPr>
              <w:t xml:space="preserve">用率不低于 </w:t>
            </w:r>
            <w:r>
              <w:rPr>
                <w:sz w:val="21"/>
              </w:rPr>
              <w:t>3</w:t>
            </w:r>
            <w:r>
              <w:rPr>
                <w:spacing w:val="-4"/>
                <w:sz w:val="21"/>
              </w:rPr>
              <w:t>%，地下开采矿山废石</w:t>
            </w:r>
            <w:r>
              <w:rPr>
                <w:spacing w:val="-7"/>
                <w:sz w:val="21"/>
              </w:rPr>
              <w:t xml:space="preserve">综合利用率不低于 </w:t>
            </w:r>
            <w:r>
              <w:rPr>
                <w:spacing w:val="-20"/>
                <w:sz w:val="21"/>
              </w:rPr>
              <w:t>50</w:t>
            </w:r>
            <w:r>
              <w:rPr>
                <w:spacing w:val="-10"/>
                <w:sz w:val="21"/>
              </w:rPr>
              <w:t>%，矿山尾矿利</w:t>
            </w:r>
            <w:r>
              <w:rPr>
                <w:spacing w:val="-8"/>
                <w:sz w:val="21"/>
              </w:rPr>
              <w:t xml:space="preserve">用率不低于 </w:t>
            </w:r>
            <w:r>
              <w:rPr>
                <w:spacing w:val="-19"/>
                <w:sz w:val="21"/>
              </w:rPr>
              <w:t>50</w:t>
            </w:r>
            <w:r>
              <w:rPr>
                <w:spacing w:val="-8"/>
                <w:sz w:val="21"/>
              </w:rPr>
              <w:t>%，矿山氰渣利用率不</w:t>
            </w:r>
            <w:r>
              <w:rPr>
                <w:spacing w:val="-18"/>
                <w:sz w:val="21"/>
              </w:rPr>
              <w:t xml:space="preserve">低于 </w:t>
            </w:r>
            <w:r>
              <w:rPr>
                <w:sz w:val="21"/>
              </w:rPr>
              <w:t>15%。</w:t>
            </w:r>
          </w:p>
        </w:tc>
        <w:tc>
          <w:tcPr>
            <w:tcW w:w="2496" w:type="dxa"/>
          </w:tcPr>
          <w:p>
            <w:pPr>
              <w:pStyle w:val="12"/>
              <w:rPr>
                <w:b/>
                <w:sz w:val="20"/>
              </w:rPr>
            </w:pPr>
          </w:p>
          <w:p>
            <w:pPr>
              <w:pStyle w:val="12"/>
              <w:rPr>
                <w:b/>
                <w:sz w:val="20"/>
              </w:rPr>
            </w:pPr>
          </w:p>
          <w:p>
            <w:pPr>
              <w:pStyle w:val="12"/>
              <w:rPr>
                <w:b/>
                <w:sz w:val="20"/>
              </w:rPr>
            </w:pPr>
          </w:p>
          <w:p>
            <w:pPr>
              <w:pStyle w:val="12"/>
              <w:spacing w:before="3"/>
              <w:rPr>
                <w:b/>
                <w:sz w:val="24"/>
              </w:rPr>
            </w:pPr>
          </w:p>
          <w:p>
            <w:pPr>
              <w:pStyle w:val="12"/>
              <w:spacing w:line="213" w:lineRule="auto"/>
              <w:ind w:left="119" w:right="60"/>
              <w:jc w:val="both"/>
              <w:rPr>
                <w:sz w:val="21"/>
              </w:rPr>
            </w:pPr>
            <w:r>
              <w:rPr>
                <w:sz w:val="21"/>
              </w:rPr>
              <w:t>①煤矿矿区生产生活形成的固体废弃物应设置专用堆积场所，并符合</w:t>
            </w:r>
          </w:p>
          <w:p>
            <w:pPr>
              <w:pStyle w:val="12"/>
              <w:spacing w:before="1" w:line="213" w:lineRule="auto"/>
              <w:ind w:left="119" w:right="31"/>
              <w:jc w:val="both"/>
              <w:rPr>
                <w:sz w:val="21"/>
              </w:rPr>
            </w:pPr>
            <w:r>
              <w:rPr>
                <w:sz w:val="21"/>
              </w:rPr>
              <w:t>《中华人民共和国固体废物污染环境防治法》、《中华人民共和国地质灾害</w:t>
            </w:r>
            <w:r>
              <w:rPr>
                <w:spacing w:val="-28"/>
                <w:sz w:val="21"/>
              </w:rPr>
              <w:t>防治条例》、《煤矿</w:t>
            </w:r>
            <w:r>
              <w:rPr>
                <w:spacing w:val="-9"/>
                <w:sz w:val="21"/>
              </w:rPr>
              <w:t>安全监察条例》等安全、</w:t>
            </w:r>
            <w:r>
              <w:rPr>
                <w:spacing w:val="-8"/>
                <w:sz w:val="21"/>
              </w:rPr>
              <w:t>环保和监测的规定。②煤</w:t>
            </w:r>
            <w:r>
              <w:rPr>
                <w:spacing w:val="19"/>
                <w:sz w:val="21"/>
              </w:rPr>
              <w:t>矿矿区对地下水系统进</w:t>
            </w:r>
            <w:r>
              <w:rPr>
                <w:spacing w:val="-6"/>
                <w:sz w:val="21"/>
              </w:rPr>
              <w:t>行分层隔离，有效防治采</w:t>
            </w:r>
            <w:r>
              <w:rPr>
                <w:spacing w:val="19"/>
                <w:sz w:val="21"/>
              </w:rPr>
              <w:t>空区水对资源性含水层</w:t>
            </w:r>
            <w:r>
              <w:rPr>
                <w:spacing w:val="-1"/>
                <w:sz w:val="21"/>
              </w:rPr>
              <w:t>的污染。</w:t>
            </w:r>
          </w:p>
        </w:tc>
        <w:tc>
          <w:tcPr>
            <w:tcW w:w="3955"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42" w:line="213" w:lineRule="auto"/>
              <w:ind w:left="122" w:right="-15"/>
              <w:rPr>
                <w:sz w:val="21"/>
              </w:rPr>
            </w:pPr>
            <w:r>
              <w:rPr>
                <w:spacing w:val="-6"/>
                <w:sz w:val="21"/>
              </w:rPr>
              <w:t>①资源开发应与环境保护、资源保护、城</w:t>
            </w:r>
            <w:r>
              <w:rPr>
                <w:spacing w:val="-9"/>
                <w:sz w:val="21"/>
              </w:rPr>
              <w:t>乡建设相协调，最大限度减少对自然环境的扰动和破坏，选择资源节约型、环境友好型开发方式。②煤矿堆存煤矸石等固体</w:t>
            </w:r>
            <w:r>
              <w:rPr>
                <w:spacing w:val="-8"/>
                <w:sz w:val="21"/>
              </w:rPr>
              <w:t>废弃物应分类处理，持续利用，处置率达</w:t>
            </w:r>
            <w:r>
              <w:rPr>
                <w:spacing w:val="-26"/>
                <w:sz w:val="21"/>
              </w:rPr>
              <w:t xml:space="preserve">到 </w:t>
            </w:r>
            <w:r>
              <w:rPr>
                <w:sz w:val="21"/>
              </w:rPr>
              <w:t>100</w:t>
            </w:r>
            <w:r>
              <w:rPr>
                <w:spacing w:val="-4"/>
                <w:sz w:val="21"/>
              </w:rPr>
              <w:t>%，矿井水、疏干水应采用洁净化、</w:t>
            </w:r>
            <w:r>
              <w:rPr>
                <w:spacing w:val="-6"/>
                <w:sz w:val="21"/>
              </w:rPr>
              <w:t>资源化技术和工艺进行合理处置，处置率100%。</w:t>
            </w:r>
          </w:p>
        </w:tc>
      </w:tr>
    </w:tbl>
    <w:p>
      <w:pPr>
        <w:spacing w:line="213" w:lineRule="auto"/>
        <w:rPr>
          <w:sz w:val="21"/>
        </w:rPr>
        <w:sectPr>
          <w:pgSz w:w="23760" w:h="16790" w:orient="landscape"/>
          <w:pgMar w:top="1080" w:right="660" w:bottom="1080" w:left="860" w:header="0" w:footer="894" w:gutter="0"/>
          <w:cols w:space="720" w:num="1"/>
        </w:sectPr>
      </w:pPr>
    </w:p>
    <w:tbl>
      <w:tblPr>
        <w:tblStyle w:val="3"/>
        <w:tblW w:w="20634"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1473"/>
        <w:gridCol w:w="707"/>
        <w:gridCol w:w="1285"/>
        <w:gridCol w:w="846"/>
        <w:gridCol w:w="1474"/>
        <w:gridCol w:w="3051"/>
        <w:gridCol w:w="3451"/>
        <w:gridCol w:w="2496"/>
        <w:gridCol w:w="3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896" w:type="dxa"/>
            <w:vMerge w:val="restart"/>
          </w:tcPr>
          <w:p>
            <w:pPr>
              <w:pStyle w:val="12"/>
              <w:spacing w:before="109"/>
              <w:ind w:left="107"/>
              <w:rPr>
                <w:sz w:val="21"/>
              </w:rPr>
            </w:pPr>
            <w:r>
              <w:rPr>
                <w:sz w:val="21"/>
              </w:rPr>
              <w:t>环境管控单元编码</w:t>
            </w:r>
          </w:p>
        </w:tc>
        <w:tc>
          <w:tcPr>
            <w:tcW w:w="1473" w:type="dxa"/>
            <w:vMerge w:val="restart"/>
          </w:tcPr>
          <w:p>
            <w:pPr>
              <w:pStyle w:val="12"/>
              <w:spacing w:before="7" w:line="240" w:lineRule="exact"/>
              <w:ind w:left="420" w:right="195" w:hanging="209"/>
              <w:rPr>
                <w:sz w:val="21"/>
              </w:rPr>
            </w:pPr>
            <w:r>
              <w:rPr>
                <w:sz w:val="21"/>
              </w:rPr>
              <w:t>环境管控单元名称</w:t>
            </w:r>
          </w:p>
        </w:tc>
        <w:tc>
          <w:tcPr>
            <w:tcW w:w="2838" w:type="dxa"/>
            <w:gridSpan w:val="3"/>
          </w:tcPr>
          <w:p>
            <w:pPr>
              <w:pStyle w:val="12"/>
              <w:spacing w:line="222" w:lineRule="exact"/>
              <w:ind w:left="982" w:right="965"/>
              <w:jc w:val="center"/>
              <w:rPr>
                <w:sz w:val="21"/>
              </w:rPr>
            </w:pPr>
            <w:r>
              <w:rPr>
                <w:sz w:val="21"/>
              </w:rPr>
              <w:t>行政区划</w:t>
            </w:r>
          </w:p>
        </w:tc>
        <w:tc>
          <w:tcPr>
            <w:tcW w:w="1474" w:type="dxa"/>
            <w:vMerge w:val="restart"/>
          </w:tcPr>
          <w:p>
            <w:pPr>
              <w:pStyle w:val="12"/>
              <w:spacing w:before="109"/>
              <w:ind w:left="113"/>
              <w:rPr>
                <w:sz w:val="21"/>
              </w:rPr>
            </w:pPr>
            <w:r>
              <w:rPr>
                <w:sz w:val="21"/>
              </w:rPr>
              <w:t>管控单元分类</w:t>
            </w:r>
          </w:p>
        </w:tc>
        <w:tc>
          <w:tcPr>
            <w:tcW w:w="12953" w:type="dxa"/>
            <w:gridSpan w:val="4"/>
          </w:tcPr>
          <w:p>
            <w:pPr>
              <w:pStyle w:val="12"/>
              <w:spacing w:line="222" w:lineRule="exact"/>
              <w:ind w:left="6048" w:right="6014"/>
              <w:jc w:val="center"/>
              <w:rPr>
                <w:sz w:val="21"/>
              </w:rPr>
            </w:pPr>
            <w:r>
              <w:rPr>
                <w:sz w:val="21"/>
              </w:rPr>
              <w:t>管控要求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896" w:type="dxa"/>
            <w:vMerge w:val="continue"/>
            <w:tcBorders>
              <w:top w:val="nil"/>
            </w:tcBorders>
          </w:tcPr>
          <w:p>
            <w:pPr>
              <w:rPr>
                <w:sz w:val="2"/>
                <w:szCs w:val="2"/>
              </w:rPr>
            </w:pPr>
          </w:p>
        </w:tc>
        <w:tc>
          <w:tcPr>
            <w:tcW w:w="1473" w:type="dxa"/>
            <w:vMerge w:val="continue"/>
            <w:tcBorders>
              <w:top w:val="nil"/>
            </w:tcBorders>
          </w:tcPr>
          <w:p>
            <w:pPr>
              <w:rPr>
                <w:sz w:val="2"/>
                <w:szCs w:val="2"/>
              </w:rPr>
            </w:pPr>
          </w:p>
        </w:tc>
        <w:tc>
          <w:tcPr>
            <w:tcW w:w="707" w:type="dxa"/>
          </w:tcPr>
          <w:p>
            <w:pPr>
              <w:pStyle w:val="12"/>
              <w:spacing w:line="220" w:lineRule="exact"/>
              <w:ind w:left="108"/>
              <w:rPr>
                <w:sz w:val="21"/>
              </w:rPr>
            </w:pPr>
            <w:r>
              <w:rPr>
                <w:sz w:val="21"/>
              </w:rPr>
              <w:t>省</w:t>
            </w:r>
          </w:p>
        </w:tc>
        <w:tc>
          <w:tcPr>
            <w:tcW w:w="1285" w:type="dxa"/>
          </w:tcPr>
          <w:p>
            <w:pPr>
              <w:pStyle w:val="12"/>
              <w:spacing w:line="220" w:lineRule="exact"/>
              <w:ind w:left="109"/>
              <w:rPr>
                <w:sz w:val="21"/>
              </w:rPr>
            </w:pPr>
            <w:r>
              <w:rPr>
                <w:sz w:val="21"/>
              </w:rPr>
              <w:t>市</w:t>
            </w:r>
          </w:p>
        </w:tc>
        <w:tc>
          <w:tcPr>
            <w:tcW w:w="846" w:type="dxa"/>
          </w:tcPr>
          <w:p>
            <w:pPr>
              <w:pStyle w:val="12"/>
              <w:spacing w:line="220" w:lineRule="exact"/>
              <w:ind w:left="111"/>
              <w:rPr>
                <w:sz w:val="21"/>
              </w:rPr>
            </w:pPr>
            <w:r>
              <w:rPr>
                <w:sz w:val="21"/>
              </w:rPr>
              <w:t>县</w:t>
            </w:r>
          </w:p>
        </w:tc>
        <w:tc>
          <w:tcPr>
            <w:tcW w:w="1474" w:type="dxa"/>
            <w:vMerge w:val="continue"/>
            <w:tcBorders>
              <w:top w:val="nil"/>
            </w:tcBorders>
          </w:tcPr>
          <w:p>
            <w:pPr>
              <w:rPr>
                <w:sz w:val="2"/>
                <w:szCs w:val="2"/>
              </w:rPr>
            </w:pPr>
          </w:p>
        </w:tc>
        <w:tc>
          <w:tcPr>
            <w:tcW w:w="3051" w:type="dxa"/>
          </w:tcPr>
          <w:p>
            <w:pPr>
              <w:pStyle w:val="12"/>
              <w:spacing w:line="220" w:lineRule="exact"/>
              <w:ind w:left="902"/>
              <w:rPr>
                <w:sz w:val="21"/>
              </w:rPr>
            </w:pPr>
            <w:r>
              <w:rPr>
                <w:sz w:val="21"/>
              </w:rPr>
              <w:t>空间布局约束</w:t>
            </w:r>
          </w:p>
        </w:tc>
        <w:tc>
          <w:tcPr>
            <w:tcW w:w="3451" w:type="dxa"/>
          </w:tcPr>
          <w:p>
            <w:pPr>
              <w:pStyle w:val="12"/>
              <w:spacing w:line="220" w:lineRule="exact"/>
              <w:ind w:left="1000"/>
              <w:rPr>
                <w:sz w:val="21"/>
              </w:rPr>
            </w:pPr>
            <w:r>
              <w:rPr>
                <w:sz w:val="21"/>
              </w:rPr>
              <w:t>污染物排放管控</w:t>
            </w:r>
          </w:p>
        </w:tc>
        <w:tc>
          <w:tcPr>
            <w:tcW w:w="2496" w:type="dxa"/>
          </w:tcPr>
          <w:p>
            <w:pPr>
              <w:pStyle w:val="12"/>
              <w:spacing w:line="220" w:lineRule="exact"/>
              <w:ind w:left="630"/>
              <w:rPr>
                <w:sz w:val="21"/>
              </w:rPr>
            </w:pPr>
            <w:r>
              <w:rPr>
                <w:sz w:val="21"/>
              </w:rPr>
              <w:t>环境风险防控</w:t>
            </w:r>
          </w:p>
        </w:tc>
        <w:tc>
          <w:tcPr>
            <w:tcW w:w="3955" w:type="dxa"/>
          </w:tcPr>
          <w:p>
            <w:pPr>
              <w:pStyle w:val="12"/>
              <w:spacing w:line="220" w:lineRule="exact"/>
              <w:ind w:left="1152"/>
              <w:rPr>
                <w:sz w:val="21"/>
              </w:rPr>
            </w:pPr>
            <w:r>
              <w:rPr>
                <w:sz w:val="21"/>
              </w:rPr>
              <w:t>资源开发效率要求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896" w:type="dxa"/>
          </w:tcPr>
          <w:p>
            <w:pPr>
              <w:pStyle w:val="12"/>
              <w:rPr>
                <w:b/>
                <w:sz w:val="20"/>
              </w:rPr>
            </w:pPr>
          </w:p>
          <w:p>
            <w:pPr>
              <w:pStyle w:val="12"/>
              <w:spacing w:before="5"/>
              <w:rPr>
                <w:b/>
                <w:sz w:val="25"/>
              </w:rPr>
            </w:pPr>
          </w:p>
          <w:p>
            <w:pPr>
              <w:pStyle w:val="12"/>
              <w:ind w:left="263"/>
              <w:rPr>
                <w:sz w:val="21"/>
              </w:rPr>
            </w:pPr>
            <w:r>
              <w:rPr>
                <w:sz w:val="21"/>
              </w:rPr>
              <w:t>ZH52272830001</w:t>
            </w:r>
          </w:p>
        </w:tc>
        <w:tc>
          <w:tcPr>
            <w:tcW w:w="1473" w:type="dxa"/>
          </w:tcPr>
          <w:p>
            <w:pPr>
              <w:pStyle w:val="12"/>
              <w:rPr>
                <w:b/>
                <w:sz w:val="20"/>
              </w:rPr>
            </w:pPr>
          </w:p>
          <w:p>
            <w:pPr>
              <w:pStyle w:val="12"/>
              <w:spacing w:before="11"/>
              <w:rPr>
                <w:b/>
                <w:sz w:val="17"/>
              </w:rPr>
            </w:pPr>
          </w:p>
          <w:p>
            <w:pPr>
              <w:pStyle w:val="12"/>
              <w:spacing w:line="213" w:lineRule="auto"/>
              <w:ind w:left="317" w:right="195" w:hanging="106"/>
              <w:rPr>
                <w:sz w:val="21"/>
              </w:rPr>
            </w:pPr>
            <w:r>
              <w:rPr>
                <w:sz w:val="21"/>
              </w:rPr>
              <w:t>罗甸县一般管控单元</w:t>
            </w:r>
          </w:p>
        </w:tc>
        <w:tc>
          <w:tcPr>
            <w:tcW w:w="707" w:type="dxa"/>
          </w:tcPr>
          <w:p>
            <w:pPr>
              <w:pStyle w:val="12"/>
              <w:rPr>
                <w:b/>
                <w:sz w:val="20"/>
              </w:rPr>
            </w:pPr>
          </w:p>
          <w:p>
            <w:pPr>
              <w:pStyle w:val="12"/>
              <w:spacing w:before="11"/>
              <w:rPr>
                <w:b/>
                <w:sz w:val="17"/>
              </w:rPr>
            </w:pPr>
          </w:p>
          <w:p>
            <w:pPr>
              <w:pStyle w:val="12"/>
              <w:spacing w:line="213" w:lineRule="auto"/>
              <w:ind w:left="248" w:right="127" w:hanging="104"/>
              <w:rPr>
                <w:sz w:val="21"/>
              </w:rPr>
            </w:pPr>
            <w:r>
              <w:rPr>
                <w:sz w:val="21"/>
              </w:rPr>
              <w:t>贵州省</w:t>
            </w:r>
          </w:p>
        </w:tc>
        <w:tc>
          <w:tcPr>
            <w:tcW w:w="1285" w:type="dxa"/>
          </w:tcPr>
          <w:p>
            <w:pPr>
              <w:pStyle w:val="12"/>
              <w:rPr>
                <w:b/>
                <w:sz w:val="20"/>
              </w:rPr>
            </w:pPr>
          </w:p>
          <w:p>
            <w:pPr>
              <w:pStyle w:val="12"/>
              <w:spacing w:before="11"/>
              <w:rPr>
                <w:b/>
                <w:sz w:val="17"/>
              </w:rPr>
            </w:pPr>
          </w:p>
          <w:p>
            <w:pPr>
              <w:pStyle w:val="12"/>
              <w:spacing w:line="213" w:lineRule="auto"/>
              <w:ind w:left="119" w:right="99"/>
              <w:rPr>
                <w:sz w:val="21"/>
              </w:rPr>
            </w:pPr>
            <w:r>
              <w:rPr>
                <w:sz w:val="21"/>
              </w:rPr>
              <w:t>黔南布依族苗族自治州</w:t>
            </w:r>
          </w:p>
        </w:tc>
        <w:tc>
          <w:tcPr>
            <w:tcW w:w="846" w:type="dxa"/>
          </w:tcPr>
          <w:p>
            <w:pPr>
              <w:pStyle w:val="12"/>
              <w:rPr>
                <w:b/>
                <w:sz w:val="20"/>
              </w:rPr>
            </w:pPr>
          </w:p>
          <w:p>
            <w:pPr>
              <w:pStyle w:val="12"/>
              <w:spacing w:before="5"/>
              <w:rPr>
                <w:b/>
                <w:sz w:val="25"/>
              </w:rPr>
            </w:pPr>
          </w:p>
          <w:p>
            <w:pPr>
              <w:pStyle w:val="12"/>
              <w:ind w:left="111"/>
              <w:rPr>
                <w:sz w:val="21"/>
              </w:rPr>
            </w:pPr>
            <w:r>
              <w:rPr>
                <w:sz w:val="21"/>
              </w:rPr>
              <w:t>罗甸县</w:t>
            </w:r>
          </w:p>
        </w:tc>
        <w:tc>
          <w:tcPr>
            <w:tcW w:w="1474" w:type="dxa"/>
          </w:tcPr>
          <w:p>
            <w:pPr>
              <w:pStyle w:val="12"/>
              <w:rPr>
                <w:b/>
                <w:sz w:val="20"/>
              </w:rPr>
            </w:pPr>
          </w:p>
          <w:p>
            <w:pPr>
              <w:pStyle w:val="12"/>
              <w:spacing w:before="5"/>
              <w:rPr>
                <w:b/>
                <w:sz w:val="25"/>
              </w:rPr>
            </w:pPr>
          </w:p>
          <w:p>
            <w:pPr>
              <w:pStyle w:val="12"/>
              <w:ind w:left="113"/>
              <w:rPr>
                <w:sz w:val="21"/>
              </w:rPr>
            </w:pPr>
            <w:r>
              <w:rPr>
                <w:sz w:val="21"/>
              </w:rPr>
              <w:t>一般管控单元</w:t>
            </w:r>
          </w:p>
        </w:tc>
        <w:tc>
          <w:tcPr>
            <w:tcW w:w="3051" w:type="dxa"/>
          </w:tcPr>
          <w:p>
            <w:pPr>
              <w:pStyle w:val="12"/>
              <w:spacing w:before="125" w:line="213" w:lineRule="auto"/>
              <w:ind w:left="115" w:right="84"/>
              <w:rPr>
                <w:sz w:val="21"/>
              </w:rPr>
            </w:pPr>
            <w:r>
              <w:rPr>
                <w:sz w:val="21"/>
              </w:rPr>
              <w:t>执行省/黔南州水要素普适性要求。</w:t>
            </w:r>
          </w:p>
          <w:p>
            <w:pPr>
              <w:pStyle w:val="12"/>
              <w:spacing w:before="1" w:line="213" w:lineRule="auto"/>
              <w:ind w:left="115" w:right="84"/>
              <w:jc w:val="both"/>
              <w:rPr>
                <w:sz w:val="21"/>
              </w:rPr>
            </w:pPr>
            <w:r>
              <w:rPr>
                <w:spacing w:val="-13"/>
                <w:sz w:val="21"/>
              </w:rPr>
              <w:t>大气环境弱扩散、布局敏感重点管控区执行省、州普适性总体管</w:t>
            </w:r>
            <w:r>
              <w:rPr>
                <w:sz w:val="21"/>
              </w:rPr>
              <w:t>控要求</w:t>
            </w:r>
          </w:p>
        </w:tc>
        <w:tc>
          <w:tcPr>
            <w:tcW w:w="3451" w:type="dxa"/>
          </w:tcPr>
          <w:p>
            <w:pPr>
              <w:pStyle w:val="12"/>
              <w:rPr>
                <w:b/>
                <w:sz w:val="20"/>
              </w:rPr>
            </w:pPr>
          </w:p>
          <w:p>
            <w:pPr>
              <w:pStyle w:val="12"/>
              <w:spacing w:before="5"/>
              <w:rPr>
                <w:b/>
                <w:sz w:val="25"/>
              </w:rPr>
            </w:pPr>
          </w:p>
          <w:p>
            <w:pPr>
              <w:pStyle w:val="12"/>
              <w:ind w:left="117"/>
              <w:rPr>
                <w:sz w:val="21"/>
              </w:rPr>
            </w:pPr>
            <w:r>
              <w:rPr>
                <w:sz w:val="21"/>
              </w:rPr>
              <w:t>执行省/黔南州水要素普适性要求</w:t>
            </w:r>
          </w:p>
        </w:tc>
        <w:tc>
          <w:tcPr>
            <w:tcW w:w="2496" w:type="dxa"/>
          </w:tcPr>
          <w:p>
            <w:pPr>
              <w:pStyle w:val="12"/>
              <w:rPr>
                <w:b/>
                <w:sz w:val="20"/>
              </w:rPr>
            </w:pPr>
          </w:p>
          <w:p>
            <w:pPr>
              <w:pStyle w:val="12"/>
              <w:spacing w:before="11"/>
              <w:rPr>
                <w:b/>
                <w:sz w:val="17"/>
              </w:rPr>
            </w:pPr>
          </w:p>
          <w:p>
            <w:pPr>
              <w:pStyle w:val="12"/>
              <w:spacing w:line="213" w:lineRule="auto"/>
              <w:ind w:left="119" w:right="60"/>
              <w:rPr>
                <w:sz w:val="21"/>
              </w:rPr>
            </w:pPr>
            <w:r>
              <w:rPr>
                <w:sz w:val="21"/>
              </w:rPr>
              <w:t>执行贵州省土壤普适性管控要求</w:t>
            </w:r>
          </w:p>
        </w:tc>
        <w:tc>
          <w:tcPr>
            <w:tcW w:w="3955" w:type="dxa"/>
          </w:tcPr>
          <w:p>
            <w:pPr>
              <w:pStyle w:val="12"/>
              <w:spacing w:before="7" w:line="211" w:lineRule="auto"/>
              <w:ind w:left="122" w:right="75"/>
              <w:jc w:val="both"/>
              <w:rPr>
                <w:sz w:val="21"/>
              </w:rPr>
            </w:pPr>
            <w:r>
              <w:rPr>
                <w:spacing w:val="-1"/>
                <w:sz w:val="21"/>
              </w:rPr>
              <w:t>水资源：</w:t>
            </w:r>
            <w:r>
              <w:rPr>
                <w:sz w:val="21"/>
              </w:rPr>
              <w:t>2020</w:t>
            </w:r>
            <w:r>
              <w:rPr>
                <w:spacing w:val="-6"/>
                <w:sz w:val="21"/>
              </w:rPr>
              <w:t xml:space="preserve"> 年，用水总量控制在 </w:t>
            </w:r>
            <w:r>
              <w:rPr>
                <w:sz w:val="21"/>
              </w:rPr>
              <w:t xml:space="preserve">0.90 </w:t>
            </w:r>
            <w:r>
              <w:rPr>
                <w:spacing w:val="-17"/>
                <w:sz w:val="21"/>
              </w:rPr>
              <w:t xml:space="preserve">亿 </w:t>
            </w:r>
            <w:r>
              <w:rPr>
                <w:sz w:val="21"/>
              </w:rPr>
              <w:t>m</w:t>
            </w:r>
            <w:r>
              <w:rPr>
                <w:position w:val="11"/>
                <w:sz w:val="11"/>
              </w:rPr>
              <w:t xml:space="preserve">3 </w:t>
            </w:r>
            <w:r>
              <w:rPr>
                <w:spacing w:val="-2"/>
                <w:sz w:val="21"/>
              </w:rPr>
              <w:t>以内，</w:t>
            </w:r>
            <w:r>
              <w:rPr>
                <w:sz w:val="21"/>
              </w:rPr>
              <w:t>2030</w:t>
            </w:r>
            <w:r>
              <w:rPr>
                <w:spacing w:val="-11"/>
                <w:sz w:val="21"/>
              </w:rPr>
              <w:t xml:space="preserve"> 年用水总量控制在 </w:t>
            </w:r>
            <w:r>
              <w:rPr>
                <w:spacing w:val="-3"/>
                <w:sz w:val="21"/>
              </w:rPr>
              <w:t xml:space="preserve">0.67 </w:t>
            </w:r>
            <w:r>
              <w:rPr>
                <w:spacing w:val="-17"/>
                <w:sz w:val="21"/>
              </w:rPr>
              <w:t xml:space="preserve">亿 </w:t>
            </w:r>
            <w:r>
              <w:rPr>
                <w:sz w:val="21"/>
              </w:rPr>
              <w:t>m3</w:t>
            </w:r>
            <w:r>
              <w:rPr>
                <w:spacing w:val="-3"/>
                <w:sz w:val="21"/>
              </w:rPr>
              <w:t>。</w:t>
            </w:r>
            <w:r>
              <w:rPr>
                <w:sz w:val="21"/>
              </w:rPr>
              <w:t>2020</w:t>
            </w:r>
            <w:r>
              <w:rPr>
                <w:spacing w:val="-4"/>
                <w:sz w:val="21"/>
              </w:rPr>
              <w:t xml:space="preserve"> 年万元国民生产总值用水量</w:t>
            </w:r>
            <w:r>
              <w:rPr>
                <w:spacing w:val="-9"/>
                <w:sz w:val="21"/>
              </w:rPr>
              <w:t xml:space="preserve">比 </w:t>
            </w:r>
            <w:r>
              <w:rPr>
                <w:sz w:val="21"/>
              </w:rPr>
              <w:t>2015</w:t>
            </w:r>
            <w:r>
              <w:rPr>
                <w:spacing w:val="-4"/>
                <w:sz w:val="21"/>
              </w:rPr>
              <w:t xml:space="preserve"> 年下降 </w:t>
            </w:r>
            <w:r>
              <w:rPr>
                <w:sz w:val="21"/>
              </w:rPr>
              <w:t>30</w:t>
            </w:r>
            <w:r>
              <w:rPr>
                <w:spacing w:val="-4"/>
                <w:sz w:val="21"/>
              </w:rPr>
              <w:t>%；万元工业增加值用</w:t>
            </w:r>
            <w:r>
              <w:rPr>
                <w:spacing w:val="-15"/>
                <w:sz w:val="21"/>
              </w:rPr>
              <w:t xml:space="preserve">水量比 </w:t>
            </w:r>
            <w:r>
              <w:rPr>
                <w:sz w:val="21"/>
              </w:rPr>
              <w:t>2015</w:t>
            </w:r>
            <w:r>
              <w:rPr>
                <w:spacing w:val="-13"/>
                <w:sz w:val="21"/>
              </w:rPr>
              <w:t xml:space="preserve"> 年下降 </w:t>
            </w:r>
            <w:r>
              <w:rPr>
                <w:sz w:val="21"/>
              </w:rPr>
              <w:t>32%。</w:t>
            </w:r>
          </w:p>
          <w:p>
            <w:pPr>
              <w:pStyle w:val="12"/>
              <w:spacing w:line="219" w:lineRule="exact"/>
              <w:ind w:left="122"/>
              <w:rPr>
                <w:sz w:val="21"/>
              </w:rPr>
            </w:pPr>
            <w:r>
              <w:rPr>
                <w:sz w:val="21"/>
              </w:rPr>
              <w:t>能源:执行黔南州能源利用普适性要求。</w:t>
            </w:r>
          </w:p>
        </w:tc>
      </w:tr>
    </w:tbl>
    <w:p/>
    <w:sectPr>
      <w:pgSz w:w="23760" w:h="16790" w:orient="landscape"/>
      <w:pgMar w:top="1080" w:right="660" w:bottom="1080" w:left="860" w:header="0" w:footer="8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7615555</wp:posOffset>
              </wp:positionH>
              <wp:positionV relativeFrom="page">
                <wp:posOffset>9899015</wp:posOffset>
              </wp:positionV>
              <wp:extent cx="83820" cy="13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line="203" w:lineRule="exact"/>
                            <w:ind w:left="20"/>
                            <w:rPr>
                              <w:rFonts w:ascii="Calibri"/>
                              <w:sz w:val="18"/>
                            </w:rPr>
                          </w:pPr>
                          <w:r>
                            <w:rPr>
                              <w:rFonts w:ascii="Calibri"/>
                              <w:sz w:val="18"/>
                            </w:rPr>
                            <w:t>1</w:t>
                          </w:r>
                        </w:p>
                      </w:txbxContent>
                    </wps:txbx>
                    <wps:bodyPr lIns="0" tIns="0" rIns="0" bIns="0" upright="1"/>
                  </wps:wsp>
                </a:graphicData>
              </a:graphic>
            </wp:anchor>
          </w:drawing>
        </mc:Choice>
        <mc:Fallback>
          <w:pict>
            <v:shape id="Text Box 1" o:spid="_x0000_s1026" o:spt="202" type="#_x0000_t202" style="position:absolute;left:0pt;margin-left:599.65pt;margin-top:779.45pt;height:11pt;width:6.6pt;mso-position-horizontal-relative:page;mso-position-vertical-relative:page;z-index:-251657216;mso-width-relative:page;mso-height-relative:page;" filled="f" stroked="f" coordsize="21600,21600" o:gfxdata="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UXH3bAAAA&#10;DwEAAA8AAAAAAAAAAQAgAAAAIgAAAGRycy9kb3ducmV2LnhtbFBLAQIUABQAAAAIAIdO4kAAt/CI&#10;qAEAAG8DAAAOAAAAAAAAAAEAIAAAACoBAABkcnMvZTJvRG9jLnhtbFBLBQYAAAAABgAGAFkBAABE&#10;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7574280</wp:posOffset>
              </wp:positionH>
              <wp:positionV relativeFrom="page">
                <wp:posOffset>9899015</wp:posOffset>
              </wp:positionV>
              <wp:extent cx="168275" cy="139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827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lIns="0" tIns="0" rIns="0" bIns="0" upright="1"/>
                  </wps:wsp>
                </a:graphicData>
              </a:graphic>
            </wp:anchor>
          </w:drawing>
        </mc:Choice>
        <mc:Fallback>
          <w:pict>
            <v:shape id="Text Box 2" o:spid="_x0000_s1026" o:spt="202" type="#_x0000_t202" style="position:absolute;left:0pt;margin-left:596.4pt;margin-top:779.45pt;height:11pt;width:13.25pt;mso-position-horizontal-relative:page;mso-position-vertical-relative:page;z-index:-251656192;mso-width-relative:page;mso-height-relative:page;" filled="f" stroked="f" coordsize="21600,21600" o:gfxdata="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mTGNbb&#10;AAAADwEAAA8AAAAAAAAAAQAgAAAAIgAAAGRycy9kb3ducmV2LnhtbFBLAQIUABQAAAAIAIdO4kB1&#10;ov5zqwEAAHADAAAOAAAAAAAAAAEAIAAAACoBAABkcnMvZTJvRG9jLnhtbFBLBQYAAAAABgAGAFkB&#10;AABH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06" w:hanging="264"/>
      </w:pPr>
      <w:rPr>
        <w:rFonts w:hint="default" w:ascii="Calibri" w:hAnsi="Calibri" w:eastAsia="Calibri" w:cs="Calibri"/>
        <w:w w:val="100"/>
        <w:sz w:val="21"/>
        <w:szCs w:val="21"/>
        <w:lang w:val="zh-CN" w:eastAsia="zh-CN" w:bidi="zh-CN"/>
      </w:rPr>
    </w:lvl>
    <w:lvl w:ilvl="1" w:tentative="0">
      <w:start w:val="0"/>
      <w:numFmt w:val="bullet"/>
      <w:lvlText w:val="•"/>
      <w:lvlJc w:val="left"/>
      <w:pPr>
        <w:ind w:left="1322" w:hanging="264"/>
      </w:pPr>
      <w:rPr>
        <w:rFonts w:hint="default"/>
        <w:lang w:val="zh-CN" w:eastAsia="zh-CN" w:bidi="zh-CN"/>
      </w:rPr>
    </w:lvl>
    <w:lvl w:ilvl="2" w:tentative="0">
      <w:start w:val="0"/>
      <w:numFmt w:val="bullet"/>
      <w:lvlText w:val="•"/>
      <w:lvlJc w:val="left"/>
      <w:pPr>
        <w:ind w:left="2544" w:hanging="264"/>
      </w:pPr>
      <w:rPr>
        <w:rFonts w:hint="default"/>
        <w:lang w:val="zh-CN" w:eastAsia="zh-CN" w:bidi="zh-CN"/>
      </w:rPr>
    </w:lvl>
    <w:lvl w:ilvl="3" w:tentative="0">
      <w:start w:val="0"/>
      <w:numFmt w:val="bullet"/>
      <w:lvlText w:val="•"/>
      <w:lvlJc w:val="left"/>
      <w:pPr>
        <w:ind w:left="3767" w:hanging="264"/>
      </w:pPr>
      <w:rPr>
        <w:rFonts w:hint="default"/>
        <w:lang w:val="zh-CN" w:eastAsia="zh-CN" w:bidi="zh-CN"/>
      </w:rPr>
    </w:lvl>
    <w:lvl w:ilvl="4" w:tentative="0">
      <w:start w:val="0"/>
      <w:numFmt w:val="bullet"/>
      <w:lvlText w:val="•"/>
      <w:lvlJc w:val="left"/>
      <w:pPr>
        <w:ind w:left="4989" w:hanging="264"/>
      </w:pPr>
      <w:rPr>
        <w:rFonts w:hint="default"/>
        <w:lang w:val="zh-CN" w:eastAsia="zh-CN" w:bidi="zh-CN"/>
      </w:rPr>
    </w:lvl>
    <w:lvl w:ilvl="5" w:tentative="0">
      <w:start w:val="0"/>
      <w:numFmt w:val="bullet"/>
      <w:lvlText w:val="•"/>
      <w:lvlJc w:val="left"/>
      <w:pPr>
        <w:ind w:left="6212" w:hanging="264"/>
      </w:pPr>
      <w:rPr>
        <w:rFonts w:hint="default"/>
        <w:lang w:val="zh-CN" w:eastAsia="zh-CN" w:bidi="zh-CN"/>
      </w:rPr>
    </w:lvl>
    <w:lvl w:ilvl="6" w:tentative="0">
      <w:start w:val="0"/>
      <w:numFmt w:val="bullet"/>
      <w:lvlText w:val="•"/>
      <w:lvlJc w:val="left"/>
      <w:pPr>
        <w:ind w:left="7434" w:hanging="264"/>
      </w:pPr>
      <w:rPr>
        <w:rFonts w:hint="default"/>
        <w:lang w:val="zh-CN" w:eastAsia="zh-CN" w:bidi="zh-CN"/>
      </w:rPr>
    </w:lvl>
    <w:lvl w:ilvl="7" w:tentative="0">
      <w:start w:val="0"/>
      <w:numFmt w:val="bullet"/>
      <w:lvlText w:val="•"/>
      <w:lvlJc w:val="left"/>
      <w:pPr>
        <w:ind w:left="8656" w:hanging="264"/>
      </w:pPr>
      <w:rPr>
        <w:rFonts w:hint="default"/>
        <w:lang w:val="zh-CN" w:eastAsia="zh-CN" w:bidi="zh-CN"/>
      </w:rPr>
    </w:lvl>
    <w:lvl w:ilvl="8" w:tentative="0">
      <w:start w:val="0"/>
      <w:numFmt w:val="bullet"/>
      <w:lvlText w:val="•"/>
      <w:lvlJc w:val="left"/>
      <w:pPr>
        <w:ind w:left="9879" w:hanging="264"/>
      </w:pPr>
      <w:rPr>
        <w:rFonts w:hint="default"/>
        <w:lang w:val="zh-CN" w:eastAsia="zh-CN" w:bidi="zh-CN"/>
      </w:rPr>
    </w:lvl>
  </w:abstractNum>
  <w:abstractNum w:abstractNumId="1">
    <w:nsid w:val="00000002"/>
    <w:multiLevelType w:val="multilevel"/>
    <w:tmpl w:val="00000002"/>
    <w:lvl w:ilvl="0" w:tentative="0">
      <w:start w:val="1"/>
      <w:numFmt w:val="decimal"/>
      <w:lvlText w:val="%1."/>
      <w:lvlJc w:val="left"/>
      <w:pPr>
        <w:ind w:left="268" w:hanging="163"/>
      </w:pPr>
      <w:rPr>
        <w:rFonts w:hint="default" w:ascii="Calibri" w:hAnsi="Calibri" w:eastAsia="Calibri" w:cs="Calibri"/>
        <w:spacing w:val="-1"/>
        <w:w w:val="100"/>
        <w:sz w:val="19"/>
        <w:szCs w:val="19"/>
        <w:lang w:val="zh-CN" w:eastAsia="zh-CN" w:bidi="zh-CN"/>
      </w:rPr>
    </w:lvl>
    <w:lvl w:ilvl="1" w:tentative="0">
      <w:start w:val="0"/>
      <w:numFmt w:val="bullet"/>
      <w:lvlText w:val="•"/>
      <w:lvlJc w:val="left"/>
      <w:pPr>
        <w:ind w:left="1466" w:hanging="163"/>
      </w:pPr>
      <w:rPr>
        <w:rFonts w:hint="default"/>
        <w:lang w:val="zh-CN" w:eastAsia="zh-CN" w:bidi="zh-CN"/>
      </w:rPr>
    </w:lvl>
    <w:lvl w:ilvl="2" w:tentative="0">
      <w:start w:val="0"/>
      <w:numFmt w:val="bullet"/>
      <w:lvlText w:val="•"/>
      <w:lvlJc w:val="left"/>
      <w:pPr>
        <w:ind w:left="2672" w:hanging="163"/>
      </w:pPr>
      <w:rPr>
        <w:rFonts w:hint="default"/>
        <w:lang w:val="zh-CN" w:eastAsia="zh-CN" w:bidi="zh-CN"/>
      </w:rPr>
    </w:lvl>
    <w:lvl w:ilvl="3" w:tentative="0">
      <w:start w:val="0"/>
      <w:numFmt w:val="bullet"/>
      <w:lvlText w:val="•"/>
      <w:lvlJc w:val="left"/>
      <w:pPr>
        <w:ind w:left="3879" w:hanging="163"/>
      </w:pPr>
      <w:rPr>
        <w:rFonts w:hint="default"/>
        <w:lang w:val="zh-CN" w:eastAsia="zh-CN" w:bidi="zh-CN"/>
      </w:rPr>
    </w:lvl>
    <w:lvl w:ilvl="4" w:tentative="0">
      <w:start w:val="0"/>
      <w:numFmt w:val="bullet"/>
      <w:lvlText w:val="•"/>
      <w:lvlJc w:val="left"/>
      <w:pPr>
        <w:ind w:left="5085" w:hanging="163"/>
      </w:pPr>
      <w:rPr>
        <w:rFonts w:hint="default"/>
        <w:lang w:val="zh-CN" w:eastAsia="zh-CN" w:bidi="zh-CN"/>
      </w:rPr>
    </w:lvl>
    <w:lvl w:ilvl="5" w:tentative="0">
      <w:start w:val="0"/>
      <w:numFmt w:val="bullet"/>
      <w:lvlText w:val="•"/>
      <w:lvlJc w:val="left"/>
      <w:pPr>
        <w:ind w:left="6292" w:hanging="163"/>
      </w:pPr>
      <w:rPr>
        <w:rFonts w:hint="default"/>
        <w:lang w:val="zh-CN" w:eastAsia="zh-CN" w:bidi="zh-CN"/>
      </w:rPr>
    </w:lvl>
    <w:lvl w:ilvl="6" w:tentative="0">
      <w:start w:val="0"/>
      <w:numFmt w:val="bullet"/>
      <w:lvlText w:val="•"/>
      <w:lvlJc w:val="left"/>
      <w:pPr>
        <w:ind w:left="7498" w:hanging="163"/>
      </w:pPr>
      <w:rPr>
        <w:rFonts w:hint="default"/>
        <w:lang w:val="zh-CN" w:eastAsia="zh-CN" w:bidi="zh-CN"/>
      </w:rPr>
    </w:lvl>
    <w:lvl w:ilvl="7" w:tentative="0">
      <w:start w:val="0"/>
      <w:numFmt w:val="bullet"/>
      <w:lvlText w:val="•"/>
      <w:lvlJc w:val="left"/>
      <w:pPr>
        <w:ind w:left="8704" w:hanging="163"/>
      </w:pPr>
      <w:rPr>
        <w:rFonts w:hint="default"/>
        <w:lang w:val="zh-CN" w:eastAsia="zh-CN" w:bidi="zh-CN"/>
      </w:rPr>
    </w:lvl>
    <w:lvl w:ilvl="8" w:tentative="0">
      <w:start w:val="0"/>
      <w:numFmt w:val="bullet"/>
      <w:lvlText w:val="•"/>
      <w:lvlJc w:val="left"/>
      <w:pPr>
        <w:ind w:left="9911" w:hanging="163"/>
      </w:pPr>
      <w:rPr>
        <w:rFonts w:hint="default"/>
        <w:lang w:val="zh-CN" w:eastAsia="zh-CN" w:bidi="zh-CN"/>
      </w:rPr>
    </w:lvl>
  </w:abstractNum>
  <w:abstractNum w:abstractNumId="2">
    <w:nsid w:val="00000003"/>
    <w:multiLevelType w:val="multilevel"/>
    <w:tmpl w:val="00000003"/>
    <w:lvl w:ilvl="0" w:tentative="0">
      <w:start w:val="1"/>
      <w:numFmt w:val="decimal"/>
      <w:lvlText w:val="%1."/>
      <w:lvlJc w:val="left"/>
      <w:pPr>
        <w:ind w:left="106" w:hanging="163"/>
      </w:pPr>
      <w:rPr>
        <w:rFonts w:hint="default" w:ascii="Calibri" w:hAnsi="Calibri" w:eastAsia="Calibri" w:cs="Calibri"/>
        <w:spacing w:val="-1"/>
        <w:w w:val="100"/>
        <w:sz w:val="19"/>
        <w:szCs w:val="19"/>
        <w:lang w:val="zh-CN" w:eastAsia="zh-CN" w:bidi="zh-CN"/>
      </w:rPr>
    </w:lvl>
    <w:lvl w:ilvl="1" w:tentative="0">
      <w:start w:val="0"/>
      <w:numFmt w:val="bullet"/>
      <w:lvlText w:val="•"/>
      <w:lvlJc w:val="left"/>
      <w:pPr>
        <w:ind w:left="1322" w:hanging="163"/>
      </w:pPr>
      <w:rPr>
        <w:rFonts w:hint="default"/>
        <w:lang w:val="zh-CN" w:eastAsia="zh-CN" w:bidi="zh-CN"/>
      </w:rPr>
    </w:lvl>
    <w:lvl w:ilvl="2" w:tentative="0">
      <w:start w:val="0"/>
      <w:numFmt w:val="bullet"/>
      <w:lvlText w:val="•"/>
      <w:lvlJc w:val="left"/>
      <w:pPr>
        <w:ind w:left="2544" w:hanging="163"/>
      </w:pPr>
      <w:rPr>
        <w:rFonts w:hint="default"/>
        <w:lang w:val="zh-CN" w:eastAsia="zh-CN" w:bidi="zh-CN"/>
      </w:rPr>
    </w:lvl>
    <w:lvl w:ilvl="3" w:tentative="0">
      <w:start w:val="0"/>
      <w:numFmt w:val="bullet"/>
      <w:lvlText w:val="•"/>
      <w:lvlJc w:val="left"/>
      <w:pPr>
        <w:ind w:left="3767" w:hanging="163"/>
      </w:pPr>
      <w:rPr>
        <w:rFonts w:hint="default"/>
        <w:lang w:val="zh-CN" w:eastAsia="zh-CN" w:bidi="zh-CN"/>
      </w:rPr>
    </w:lvl>
    <w:lvl w:ilvl="4" w:tentative="0">
      <w:start w:val="0"/>
      <w:numFmt w:val="bullet"/>
      <w:lvlText w:val="•"/>
      <w:lvlJc w:val="left"/>
      <w:pPr>
        <w:ind w:left="4989" w:hanging="163"/>
      </w:pPr>
      <w:rPr>
        <w:rFonts w:hint="default"/>
        <w:lang w:val="zh-CN" w:eastAsia="zh-CN" w:bidi="zh-CN"/>
      </w:rPr>
    </w:lvl>
    <w:lvl w:ilvl="5" w:tentative="0">
      <w:start w:val="0"/>
      <w:numFmt w:val="bullet"/>
      <w:lvlText w:val="•"/>
      <w:lvlJc w:val="left"/>
      <w:pPr>
        <w:ind w:left="6212" w:hanging="163"/>
      </w:pPr>
      <w:rPr>
        <w:rFonts w:hint="default"/>
        <w:lang w:val="zh-CN" w:eastAsia="zh-CN" w:bidi="zh-CN"/>
      </w:rPr>
    </w:lvl>
    <w:lvl w:ilvl="6" w:tentative="0">
      <w:start w:val="0"/>
      <w:numFmt w:val="bullet"/>
      <w:lvlText w:val="•"/>
      <w:lvlJc w:val="left"/>
      <w:pPr>
        <w:ind w:left="7434" w:hanging="163"/>
      </w:pPr>
      <w:rPr>
        <w:rFonts w:hint="default"/>
        <w:lang w:val="zh-CN" w:eastAsia="zh-CN" w:bidi="zh-CN"/>
      </w:rPr>
    </w:lvl>
    <w:lvl w:ilvl="7" w:tentative="0">
      <w:start w:val="0"/>
      <w:numFmt w:val="bullet"/>
      <w:lvlText w:val="•"/>
      <w:lvlJc w:val="left"/>
      <w:pPr>
        <w:ind w:left="8656" w:hanging="163"/>
      </w:pPr>
      <w:rPr>
        <w:rFonts w:hint="default"/>
        <w:lang w:val="zh-CN" w:eastAsia="zh-CN" w:bidi="zh-CN"/>
      </w:rPr>
    </w:lvl>
    <w:lvl w:ilvl="8" w:tentative="0">
      <w:start w:val="0"/>
      <w:numFmt w:val="bullet"/>
      <w:lvlText w:val="•"/>
      <w:lvlJc w:val="left"/>
      <w:pPr>
        <w:ind w:left="9879" w:hanging="163"/>
      </w:pPr>
      <w:rPr>
        <w:rFonts w:hint="default"/>
        <w:lang w:val="zh-CN" w:eastAsia="zh-CN" w:bidi="zh-CN"/>
      </w:rPr>
    </w:lvl>
  </w:abstractNum>
  <w:abstractNum w:abstractNumId="3">
    <w:nsid w:val="0000000C"/>
    <w:multiLevelType w:val="multilevel"/>
    <w:tmpl w:val="0000000C"/>
    <w:lvl w:ilvl="0" w:tentative="0">
      <w:start w:val="1"/>
      <w:numFmt w:val="decimal"/>
      <w:lvlText w:val="%1."/>
      <w:lvlJc w:val="left"/>
      <w:pPr>
        <w:ind w:left="107" w:hanging="213"/>
      </w:pPr>
      <w:rPr>
        <w:rFonts w:hint="default" w:ascii="仿宋" w:hAnsi="仿宋" w:eastAsia="仿宋" w:cs="仿宋"/>
        <w:spacing w:val="-108"/>
        <w:w w:val="100"/>
        <w:sz w:val="19"/>
        <w:szCs w:val="19"/>
        <w:lang w:val="zh-CN" w:eastAsia="zh-CN" w:bidi="zh-CN"/>
      </w:rPr>
    </w:lvl>
    <w:lvl w:ilvl="1" w:tentative="0">
      <w:start w:val="0"/>
      <w:numFmt w:val="bullet"/>
      <w:lvlText w:val="•"/>
      <w:lvlJc w:val="left"/>
      <w:pPr>
        <w:ind w:left="45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163" w:hanging="213"/>
      </w:pPr>
      <w:rPr>
        <w:rFonts w:hint="default"/>
        <w:lang w:val="zh-CN" w:eastAsia="zh-CN" w:bidi="zh-CN"/>
      </w:rPr>
    </w:lvl>
    <w:lvl w:ilvl="4" w:tentative="0">
      <w:start w:val="0"/>
      <w:numFmt w:val="bullet"/>
      <w:lvlText w:val="•"/>
      <w:lvlJc w:val="left"/>
      <w:pPr>
        <w:ind w:left="1518" w:hanging="213"/>
      </w:pPr>
      <w:rPr>
        <w:rFonts w:hint="default"/>
        <w:lang w:val="zh-CN" w:eastAsia="zh-CN" w:bidi="zh-CN"/>
      </w:rPr>
    </w:lvl>
    <w:lvl w:ilvl="5" w:tentative="0">
      <w:start w:val="0"/>
      <w:numFmt w:val="bullet"/>
      <w:lvlText w:val="•"/>
      <w:lvlJc w:val="left"/>
      <w:pPr>
        <w:ind w:left="1873" w:hanging="213"/>
      </w:pPr>
      <w:rPr>
        <w:rFonts w:hint="default"/>
        <w:lang w:val="zh-CN" w:eastAsia="zh-CN" w:bidi="zh-CN"/>
      </w:rPr>
    </w:lvl>
    <w:lvl w:ilvl="6" w:tentative="0">
      <w:start w:val="0"/>
      <w:numFmt w:val="bullet"/>
      <w:lvlText w:val="•"/>
      <w:lvlJc w:val="left"/>
      <w:pPr>
        <w:ind w:left="2227" w:hanging="213"/>
      </w:pPr>
      <w:rPr>
        <w:rFonts w:hint="default"/>
        <w:lang w:val="zh-CN" w:eastAsia="zh-CN" w:bidi="zh-CN"/>
      </w:rPr>
    </w:lvl>
    <w:lvl w:ilvl="7" w:tentative="0">
      <w:start w:val="0"/>
      <w:numFmt w:val="bullet"/>
      <w:lvlText w:val="•"/>
      <w:lvlJc w:val="left"/>
      <w:pPr>
        <w:ind w:left="2582" w:hanging="213"/>
      </w:pPr>
      <w:rPr>
        <w:rFonts w:hint="default"/>
        <w:lang w:val="zh-CN" w:eastAsia="zh-CN" w:bidi="zh-CN"/>
      </w:rPr>
    </w:lvl>
    <w:lvl w:ilvl="8" w:tentative="0">
      <w:start w:val="0"/>
      <w:numFmt w:val="bullet"/>
      <w:lvlText w:val="•"/>
      <w:lvlJc w:val="left"/>
      <w:pPr>
        <w:ind w:left="2936" w:hanging="213"/>
      </w:pPr>
      <w:rPr>
        <w:rFonts w:hint="default"/>
        <w:lang w:val="zh-CN" w:eastAsia="zh-CN" w:bidi="zh-CN"/>
      </w:rPr>
    </w:lvl>
  </w:abstractNum>
  <w:abstractNum w:abstractNumId="4">
    <w:nsid w:val="0000000D"/>
    <w:multiLevelType w:val="multilevel"/>
    <w:tmpl w:val="0000000D"/>
    <w:lvl w:ilvl="0" w:tentative="0">
      <w:start w:val="2"/>
      <w:numFmt w:val="decimal"/>
      <w:lvlText w:val="%1."/>
      <w:lvlJc w:val="left"/>
      <w:pPr>
        <w:ind w:left="320"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772" w:hanging="213"/>
      </w:pPr>
      <w:rPr>
        <w:rFonts w:hint="default"/>
        <w:lang w:val="zh-CN" w:eastAsia="zh-CN" w:bidi="zh-CN"/>
      </w:rPr>
    </w:lvl>
    <w:lvl w:ilvl="2" w:tentative="0">
      <w:start w:val="0"/>
      <w:numFmt w:val="bullet"/>
      <w:lvlText w:val="•"/>
      <w:lvlJc w:val="left"/>
      <w:pPr>
        <w:ind w:left="3224" w:hanging="213"/>
      </w:pPr>
      <w:rPr>
        <w:rFonts w:hint="default"/>
        <w:lang w:val="zh-CN" w:eastAsia="zh-CN" w:bidi="zh-CN"/>
      </w:rPr>
    </w:lvl>
    <w:lvl w:ilvl="3" w:tentative="0">
      <w:start w:val="0"/>
      <w:numFmt w:val="bullet"/>
      <w:lvlText w:val="•"/>
      <w:lvlJc w:val="left"/>
      <w:pPr>
        <w:ind w:left="4676" w:hanging="213"/>
      </w:pPr>
      <w:rPr>
        <w:rFonts w:hint="default"/>
        <w:lang w:val="zh-CN" w:eastAsia="zh-CN" w:bidi="zh-CN"/>
      </w:rPr>
    </w:lvl>
    <w:lvl w:ilvl="4" w:tentative="0">
      <w:start w:val="0"/>
      <w:numFmt w:val="bullet"/>
      <w:lvlText w:val="•"/>
      <w:lvlJc w:val="left"/>
      <w:pPr>
        <w:ind w:left="6128" w:hanging="213"/>
      </w:pPr>
      <w:rPr>
        <w:rFonts w:hint="default"/>
        <w:lang w:val="zh-CN" w:eastAsia="zh-CN" w:bidi="zh-CN"/>
      </w:rPr>
    </w:lvl>
    <w:lvl w:ilvl="5" w:tentative="0">
      <w:start w:val="0"/>
      <w:numFmt w:val="bullet"/>
      <w:lvlText w:val="•"/>
      <w:lvlJc w:val="left"/>
      <w:pPr>
        <w:ind w:left="7580" w:hanging="213"/>
      </w:pPr>
      <w:rPr>
        <w:rFonts w:hint="default"/>
        <w:lang w:val="zh-CN" w:eastAsia="zh-CN" w:bidi="zh-CN"/>
      </w:rPr>
    </w:lvl>
    <w:lvl w:ilvl="6" w:tentative="0">
      <w:start w:val="0"/>
      <w:numFmt w:val="bullet"/>
      <w:lvlText w:val="•"/>
      <w:lvlJc w:val="left"/>
      <w:pPr>
        <w:ind w:left="9032" w:hanging="213"/>
      </w:pPr>
      <w:rPr>
        <w:rFonts w:hint="default"/>
        <w:lang w:val="zh-CN" w:eastAsia="zh-CN" w:bidi="zh-CN"/>
      </w:rPr>
    </w:lvl>
    <w:lvl w:ilvl="7" w:tentative="0">
      <w:start w:val="0"/>
      <w:numFmt w:val="bullet"/>
      <w:lvlText w:val="•"/>
      <w:lvlJc w:val="left"/>
      <w:pPr>
        <w:ind w:left="10484" w:hanging="213"/>
      </w:pPr>
      <w:rPr>
        <w:rFonts w:hint="default"/>
        <w:lang w:val="zh-CN" w:eastAsia="zh-CN" w:bidi="zh-CN"/>
      </w:rPr>
    </w:lvl>
    <w:lvl w:ilvl="8" w:tentative="0">
      <w:start w:val="0"/>
      <w:numFmt w:val="bullet"/>
      <w:lvlText w:val="•"/>
      <w:lvlJc w:val="left"/>
      <w:pPr>
        <w:ind w:left="11936" w:hanging="213"/>
      </w:pPr>
      <w:rPr>
        <w:rFonts w:hint="default"/>
        <w:lang w:val="zh-CN" w:eastAsia="zh-CN" w:bidi="zh-CN"/>
      </w:rPr>
    </w:lvl>
  </w:abstractNum>
  <w:abstractNum w:abstractNumId="5">
    <w:nsid w:val="0000000E"/>
    <w:multiLevelType w:val="multilevel"/>
    <w:tmpl w:val="0000000E"/>
    <w:lvl w:ilvl="0" w:tentative="0">
      <w:start w:val="1"/>
      <w:numFmt w:val="decimal"/>
      <w:lvlText w:val="%1."/>
      <w:lvlJc w:val="left"/>
      <w:pPr>
        <w:ind w:left="107" w:hanging="213"/>
      </w:pPr>
      <w:rPr>
        <w:rFonts w:hint="default" w:ascii="仿宋" w:hAnsi="仿宋" w:eastAsia="仿宋" w:cs="仿宋"/>
        <w:spacing w:val="-108"/>
        <w:w w:val="100"/>
        <w:sz w:val="19"/>
        <w:szCs w:val="19"/>
        <w:lang w:val="zh-CN" w:eastAsia="zh-CN" w:bidi="zh-CN"/>
      </w:rPr>
    </w:lvl>
    <w:lvl w:ilvl="1" w:tentative="0">
      <w:start w:val="0"/>
      <w:numFmt w:val="bullet"/>
      <w:lvlText w:val="•"/>
      <w:lvlJc w:val="left"/>
      <w:pPr>
        <w:ind w:left="45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163" w:hanging="213"/>
      </w:pPr>
      <w:rPr>
        <w:rFonts w:hint="default"/>
        <w:lang w:val="zh-CN" w:eastAsia="zh-CN" w:bidi="zh-CN"/>
      </w:rPr>
    </w:lvl>
    <w:lvl w:ilvl="4" w:tentative="0">
      <w:start w:val="0"/>
      <w:numFmt w:val="bullet"/>
      <w:lvlText w:val="•"/>
      <w:lvlJc w:val="left"/>
      <w:pPr>
        <w:ind w:left="1518" w:hanging="213"/>
      </w:pPr>
      <w:rPr>
        <w:rFonts w:hint="default"/>
        <w:lang w:val="zh-CN" w:eastAsia="zh-CN" w:bidi="zh-CN"/>
      </w:rPr>
    </w:lvl>
    <w:lvl w:ilvl="5" w:tentative="0">
      <w:start w:val="0"/>
      <w:numFmt w:val="bullet"/>
      <w:lvlText w:val="•"/>
      <w:lvlJc w:val="left"/>
      <w:pPr>
        <w:ind w:left="1873" w:hanging="213"/>
      </w:pPr>
      <w:rPr>
        <w:rFonts w:hint="default"/>
        <w:lang w:val="zh-CN" w:eastAsia="zh-CN" w:bidi="zh-CN"/>
      </w:rPr>
    </w:lvl>
    <w:lvl w:ilvl="6" w:tentative="0">
      <w:start w:val="0"/>
      <w:numFmt w:val="bullet"/>
      <w:lvlText w:val="•"/>
      <w:lvlJc w:val="left"/>
      <w:pPr>
        <w:ind w:left="2227" w:hanging="213"/>
      </w:pPr>
      <w:rPr>
        <w:rFonts w:hint="default"/>
        <w:lang w:val="zh-CN" w:eastAsia="zh-CN" w:bidi="zh-CN"/>
      </w:rPr>
    </w:lvl>
    <w:lvl w:ilvl="7" w:tentative="0">
      <w:start w:val="0"/>
      <w:numFmt w:val="bullet"/>
      <w:lvlText w:val="•"/>
      <w:lvlJc w:val="left"/>
      <w:pPr>
        <w:ind w:left="2582" w:hanging="213"/>
      </w:pPr>
      <w:rPr>
        <w:rFonts w:hint="default"/>
        <w:lang w:val="zh-CN" w:eastAsia="zh-CN" w:bidi="zh-CN"/>
      </w:rPr>
    </w:lvl>
    <w:lvl w:ilvl="8" w:tentative="0">
      <w:start w:val="0"/>
      <w:numFmt w:val="bullet"/>
      <w:lvlText w:val="•"/>
      <w:lvlJc w:val="left"/>
      <w:pPr>
        <w:ind w:left="2936" w:hanging="213"/>
      </w:pPr>
      <w:rPr>
        <w:rFonts w:hint="default"/>
        <w:lang w:val="zh-CN" w:eastAsia="zh-CN" w:bidi="zh-CN"/>
      </w:rPr>
    </w:lvl>
  </w:abstractNum>
  <w:abstractNum w:abstractNumId="6">
    <w:nsid w:val="0000000F"/>
    <w:multiLevelType w:val="multilevel"/>
    <w:tmpl w:val="0000000F"/>
    <w:lvl w:ilvl="0" w:tentative="0">
      <w:start w:val="1"/>
      <w:numFmt w:val="decimal"/>
      <w:lvlText w:val="%1."/>
      <w:lvlJc w:val="left"/>
      <w:pPr>
        <w:ind w:left="320"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772" w:hanging="213"/>
      </w:pPr>
      <w:rPr>
        <w:rFonts w:hint="default"/>
        <w:lang w:val="zh-CN" w:eastAsia="zh-CN" w:bidi="zh-CN"/>
      </w:rPr>
    </w:lvl>
    <w:lvl w:ilvl="2" w:tentative="0">
      <w:start w:val="0"/>
      <w:numFmt w:val="bullet"/>
      <w:lvlText w:val="•"/>
      <w:lvlJc w:val="left"/>
      <w:pPr>
        <w:ind w:left="3224" w:hanging="213"/>
      </w:pPr>
      <w:rPr>
        <w:rFonts w:hint="default"/>
        <w:lang w:val="zh-CN" w:eastAsia="zh-CN" w:bidi="zh-CN"/>
      </w:rPr>
    </w:lvl>
    <w:lvl w:ilvl="3" w:tentative="0">
      <w:start w:val="0"/>
      <w:numFmt w:val="bullet"/>
      <w:lvlText w:val="•"/>
      <w:lvlJc w:val="left"/>
      <w:pPr>
        <w:ind w:left="4676" w:hanging="213"/>
      </w:pPr>
      <w:rPr>
        <w:rFonts w:hint="default"/>
        <w:lang w:val="zh-CN" w:eastAsia="zh-CN" w:bidi="zh-CN"/>
      </w:rPr>
    </w:lvl>
    <w:lvl w:ilvl="4" w:tentative="0">
      <w:start w:val="0"/>
      <w:numFmt w:val="bullet"/>
      <w:lvlText w:val="•"/>
      <w:lvlJc w:val="left"/>
      <w:pPr>
        <w:ind w:left="6128" w:hanging="213"/>
      </w:pPr>
      <w:rPr>
        <w:rFonts w:hint="default"/>
        <w:lang w:val="zh-CN" w:eastAsia="zh-CN" w:bidi="zh-CN"/>
      </w:rPr>
    </w:lvl>
    <w:lvl w:ilvl="5" w:tentative="0">
      <w:start w:val="0"/>
      <w:numFmt w:val="bullet"/>
      <w:lvlText w:val="•"/>
      <w:lvlJc w:val="left"/>
      <w:pPr>
        <w:ind w:left="7580" w:hanging="213"/>
      </w:pPr>
      <w:rPr>
        <w:rFonts w:hint="default"/>
        <w:lang w:val="zh-CN" w:eastAsia="zh-CN" w:bidi="zh-CN"/>
      </w:rPr>
    </w:lvl>
    <w:lvl w:ilvl="6" w:tentative="0">
      <w:start w:val="0"/>
      <w:numFmt w:val="bullet"/>
      <w:lvlText w:val="•"/>
      <w:lvlJc w:val="left"/>
      <w:pPr>
        <w:ind w:left="9032" w:hanging="213"/>
      </w:pPr>
      <w:rPr>
        <w:rFonts w:hint="default"/>
        <w:lang w:val="zh-CN" w:eastAsia="zh-CN" w:bidi="zh-CN"/>
      </w:rPr>
    </w:lvl>
    <w:lvl w:ilvl="7" w:tentative="0">
      <w:start w:val="0"/>
      <w:numFmt w:val="bullet"/>
      <w:lvlText w:val="•"/>
      <w:lvlJc w:val="left"/>
      <w:pPr>
        <w:ind w:left="10484" w:hanging="213"/>
      </w:pPr>
      <w:rPr>
        <w:rFonts w:hint="default"/>
        <w:lang w:val="zh-CN" w:eastAsia="zh-CN" w:bidi="zh-CN"/>
      </w:rPr>
    </w:lvl>
    <w:lvl w:ilvl="8" w:tentative="0">
      <w:start w:val="0"/>
      <w:numFmt w:val="bullet"/>
      <w:lvlText w:val="•"/>
      <w:lvlJc w:val="left"/>
      <w:pPr>
        <w:ind w:left="11936" w:hanging="213"/>
      </w:pPr>
      <w:rPr>
        <w:rFonts w:hint="default"/>
        <w:lang w:val="zh-CN" w:eastAsia="zh-CN" w:bidi="zh-CN"/>
      </w:rPr>
    </w:lvl>
  </w:abstractNum>
  <w:abstractNum w:abstractNumId="7">
    <w:nsid w:val="00000010"/>
    <w:multiLevelType w:val="multilevel"/>
    <w:tmpl w:val="00000010"/>
    <w:lvl w:ilvl="0" w:tentative="0">
      <w:start w:val="1"/>
      <w:numFmt w:val="decimal"/>
      <w:lvlText w:val="%1."/>
      <w:lvlJc w:val="left"/>
      <w:pPr>
        <w:ind w:left="108" w:hanging="213"/>
      </w:pPr>
      <w:rPr>
        <w:rFonts w:hint="default" w:ascii="仿宋" w:hAnsi="仿宋" w:eastAsia="仿宋" w:cs="仿宋"/>
        <w:spacing w:val="-53"/>
        <w:w w:val="100"/>
        <w:sz w:val="19"/>
        <w:szCs w:val="19"/>
        <w:lang w:val="zh-CN" w:eastAsia="zh-CN" w:bidi="zh-CN"/>
      </w:rPr>
    </w:lvl>
    <w:lvl w:ilvl="1" w:tentative="0">
      <w:start w:val="0"/>
      <w:numFmt w:val="bullet"/>
      <w:lvlText w:val="•"/>
      <w:lvlJc w:val="left"/>
      <w:pPr>
        <w:ind w:left="1574" w:hanging="213"/>
      </w:pPr>
      <w:rPr>
        <w:rFonts w:hint="default"/>
        <w:lang w:val="zh-CN" w:eastAsia="zh-CN" w:bidi="zh-CN"/>
      </w:rPr>
    </w:lvl>
    <w:lvl w:ilvl="2" w:tentative="0">
      <w:start w:val="0"/>
      <w:numFmt w:val="bullet"/>
      <w:lvlText w:val="•"/>
      <w:lvlJc w:val="left"/>
      <w:pPr>
        <w:ind w:left="3048" w:hanging="213"/>
      </w:pPr>
      <w:rPr>
        <w:rFonts w:hint="default"/>
        <w:lang w:val="zh-CN" w:eastAsia="zh-CN" w:bidi="zh-CN"/>
      </w:rPr>
    </w:lvl>
    <w:lvl w:ilvl="3" w:tentative="0">
      <w:start w:val="0"/>
      <w:numFmt w:val="bullet"/>
      <w:lvlText w:val="•"/>
      <w:lvlJc w:val="left"/>
      <w:pPr>
        <w:ind w:left="4522" w:hanging="213"/>
      </w:pPr>
      <w:rPr>
        <w:rFonts w:hint="default"/>
        <w:lang w:val="zh-CN" w:eastAsia="zh-CN" w:bidi="zh-CN"/>
      </w:rPr>
    </w:lvl>
    <w:lvl w:ilvl="4" w:tentative="0">
      <w:start w:val="0"/>
      <w:numFmt w:val="bullet"/>
      <w:lvlText w:val="•"/>
      <w:lvlJc w:val="left"/>
      <w:pPr>
        <w:ind w:left="5996" w:hanging="213"/>
      </w:pPr>
      <w:rPr>
        <w:rFonts w:hint="default"/>
        <w:lang w:val="zh-CN" w:eastAsia="zh-CN" w:bidi="zh-CN"/>
      </w:rPr>
    </w:lvl>
    <w:lvl w:ilvl="5" w:tentative="0">
      <w:start w:val="0"/>
      <w:numFmt w:val="bullet"/>
      <w:lvlText w:val="•"/>
      <w:lvlJc w:val="left"/>
      <w:pPr>
        <w:ind w:left="7470" w:hanging="213"/>
      </w:pPr>
      <w:rPr>
        <w:rFonts w:hint="default"/>
        <w:lang w:val="zh-CN" w:eastAsia="zh-CN" w:bidi="zh-CN"/>
      </w:rPr>
    </w:lvl>
    <w:lvl w:ilvl="6" w:tentative="0">
      <w:start w:val="0"/>
      <w:numFmt w:val="bullet"/>
      <w:lvlText w:val="•"/>
      <w:lvlJc w:val="left"/>
      <w:pPr>
        <w:ind w:left="8944" w:hanging="213"/>
      </w:pPr>
      <w:rPr>
        <w:rFonts w:hint="default"/>
        <w:lang w:val="zh-CN" w:eastAsia="zh-CN" w:bidi="zh-CN"/>
      </w:rPr>
    </w:lvl>
    <w:lvl w:ilvl="7" w:tentative="0">
      <w:start w:val="0"/>
      <w:numFmt w:val="bullet"/>
      <w:lvlText w:val="•"/>
      <w:lvlJc w:val="left"/>
      <w:pPr>
        <w:ind w:left="10418" w:hanging="213"/>
      </w:pPr>
      <w:rPr>
        <w:rFonts w:hint="default"/>
        <w:lang w:val="zh-CN" w:eastAsia="zh-CN" w:bidi="zh-CN"/>
      </w:rPr>
    </w:lvl>
    <w:lvl w:ilvl="8" w:tentative="0">
      <w:start w:val="0"/>
      <w:numFmt w:val="bullet"/>
      <w:lvlText w:val="•"/>
      <w:lvlJc w:val="left"/>
      <w:pPr>
        <w:ind w:left="11892" w:hanging="213"/>
      </w:pPr>
      <w:rPr>
        <w:rFonts w:hint="default"/>
        <w:lang w:val="zh-CN" w:eastAsia="zh-CN" w:bidi="zh-CN"/>
      </w:rPr>
    </w:lvl>
  </w:abstractNum>
  <w:abstractNum w:abstractNumId="8">
    <w:nsid w:val="00000011"/>
    <w:multiLevelType w:val="multilevel"/>
    <w:tmpl w:val="00000011"/>
    <w:lvl w:ilvl="0" w:tentative="0">
      <w:start w:val="1"/>
      <w:numFmt w:val="decimal"/>
      <w:lvlText w:val="%1."/>
      <w:lvlJc w:val="left"/>
      <w:pPr>
        <w:ind w:left="107" w:hanging="213"/>
      </w:pPr>
      <w:rPr>
        <w:rFonts w:hint="default" w:ascii="仿宋" w:hAnsi="仿宋" w:eastAsia="仿宋" w:cs="仿宋"/>
        <w:spacing w:val="-106"/>
        <w:w w:val="100"/>
        <w:sz w:val="19"/>
        <w:szCs w:val="19"/>
        <w:lang w:val="zh-CN" w:eastAsia="zh-CN" w:bidi="zh-CN"/>
      </w:rPr>
    </w:lvl>
    <w:lvl w:ilvl="1" w:tentative="0">
      <w:start w:val="0"/>
      <w:numFmt w:val="bullet"/>
      <w:lvlText w:val="•"/>
      <w:lvlJc w:val="left"/>
      <w:pPr>
        <w:ind w:left="45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163" w:hanging="213"/>
      </w:pPr>
      <w:rPr>
        <w:rFonts w:hint="default"/>
        <w:lang w:val="zh-CN" w:eastAsia="zh-CN" w:bidi="zh-CN"/>
      </w:rPr>
    </w:lvl>
    <w:lvl w:ilvl="4" w:tentative="0">
      <w:start w:val="0"/>
      <w:numFmt w:val="bullet"/>
      <w:lvlText w:val="•"/>
      <w:lvlJc w:val="left"/>
      <w:pPr>
        <w:ind w:left="1518" w:hanging="213"/>
      </w:pPr>
      <w:rPr>
        <w:rFonts w:hint="default"/>
        <w:lang w:val="zh-CN" w:eastAsia="zh-CN" w:bidi="zh-CN"/>
      </w:rPr>
    </w:lvl>
    <w:lvl w:ilvl="5" w:tentative="0">
      <w:start w:val="0"/>
      <w:numFmt w:val="bullet"/>
      <w:lvlText w:val="•"/>
      <w:lvlJc w:val="left"/>
      <w:pPr>
        <w:ind w:left="1873" w:hanging="213"/>
      </w:pPr>
      <w:rPr>
        <w:rFonts w:hint="default"/>
        <w:lang w:val="zh-CN" w:eastAsia="zh-CN" w:bidi="zh-CN"/>
      </w:rPr>
    </w:lvl>
    <w:lvl w:ilvl="6" w:tentative="0">
      <w:start w:val="0"/>
      <w:numFmt w:val="bullet"/>
      <w:lvlText w:val="•"/>
      <w:lvlJc w:val="left"/>
      <w:pPr>
        <w:ind w:left="2227" w:hanging="213"/>
      </w:pPr>
      <w:rPr>
        <w:rFonts w:hint="default"/>
        <w:lang w:val="zh-CN" w:eastAsia="zh-CN" w:bidi="zh-CN"/>
      </w:rPr>
    </w:lvl>
    <w:lvl w:ilvl="7" w:tentative="0">
      <w:start w:val="0"/>
      <w:numFmt w:val="bullet"/>
      <w:lvlText w:val="•"/>
      <w:lvlJc w:val="left"/>
      <w:pPr>
        <w:ind w:left="2582" w:hanging="213"/>
      </w:pPr>
      <w:rPr>
        <w:rFonts w:hint="default"/>
        <w:lang w:val="zh-CN" w:eastAsia="zh-CN" w:bidi="zh-CN"/>
      </w:rPr>
    </w:lvl>
    <w:lvl w:ilvl="8" w:tentative="0">
      <w:start w:val="0"/>
      <w:numFmt w:val="bullet"/>
      <w:lvlText w:val="•"/>
      <w:lvlJc w:val="left"/>
      <w:pPr>
        <w:ind w:left="2936" w:hanging="213"/>
      </w:pPr>
      <w:rPr>
        <w:rFonts w:hint="default"/>
        <w:lang w:val="zh-CN" w:eastAsia="zh-CN" w:bidi="zh-CN"/>
      </w:rPr>
    </w:lvl>
  </w:abstractNum>
  <w:abstractNum w:abstractNumId="9">
    <w:nsid w:val="00000012"/>
    <w:multiLevelType w:val="multilevel"/>
    <w:tmpl w:val="00000012"/>
    <w:lvl w:ilvl="0" w:tentative="0">
      <w:start w:val="1"/>
      <w:numFmt w:val="decimal"/>
      <w:lvlText w:val="%1."/>
      <w:lvlJc w:val="left"/>
      <w:pPr>
        <w:ind w:left="108" w:hanging="312"/>
      </w:pPr>
      <w:rPr>
        <w:rFonts w:hint="default" w:ascii="仿宋" w:hAnsi="仿宋" w:eastAsia="仿宋" w:cs="仿宋"/>
        <w:w w:val="100"/>
        <w:sz w:val="21"/>
        <w:szCs w:val="21"/>
        <w:lang w:val="zh-CN" w:eastAsia="zh-CN" w:bidi="zh-CN"/>
      </w:rPr>
    </w:lvl>
    <w:lvl w:ilvl="1" w:tentative="0">
      <w:start w:val="0"/>
      <w:numFmt w:val="bullet"/>
      <w:lvlText w:val="•"/>
      <w:lvlJc w:val="left"/>
      <w:pPr>
        <w:ind w:left="1574" w:hanging="312"/>
      </w:pPr>
      <w:rPr>
        <w:rFonts w:hint="default"/>
        <w:lang w:val="zh-CN" w:eastAsia="zh-CN" w:bidi="zh-CN"/>
      </w:rPr>
    </w:lvl>
    <w:lvl w:ilvl="2" w:tentative="0">
      <w:start w:val="0"/>
      <w:numFmt w:val="bullet"/>
      <w:lvlText w:val="•"/>
      <w:lvlJc w:val="left"/>
      <w:pPr>
        <w:ind w:left="3048" w:hanging="312"/>
      </w:pPr>
      <w:rPr>
        <w:rFonts w:hint="default"/>
        <w:lang w:val="zh-CN" w:eastAsia="zh-CN" w:bidi="zh-CN"/>
      </w:rPr>
    </w:lvl>
    <w:lvl w:ilvl="3" w:tentative="0">
      <w:start w:val="0"/>
      <w:numFmt w:val="bullet"/>
      <w:lvlText w:val="•"/>
      <w:lvlJc w:val="left"/>
      <w:pPr>
        <w:ind w:left="4522" w:hanging="312"/>
      </w:pPr>
      <w:rPr>
        <w:rFonts w:hint="default"/>
        <w:lang w:val="zh-CN" w:eastAsia="zh-CN" w:bidi="zh-CN"/>
      </w:rPr>
    </w:lvl>
    <w:lvl w:ilvl="4" w:tentative="0">
      <w:start w:val="0"/>
      <w:numFmt w:val="bullet"/>
      <w:lvlText w:val="•"/>
      <w:lvlJc w:val="left"/>
      <w:pPr>
        <w:ind w:left="5996" w:hanging="312"/>
      </w:pPr>
      <w:rPr>
        <w:rFonts w:hint="default"/>
        <w:lang w:val="zh-CN" w:eastAsia="zh-CN" w:bidi="zh-CN"/>
      </w:rPr>
    </w:lvl>
    <w:lvl w:ilvl="5" w:tentative="0">
      <w:start w:val="0"/>
      <w:numFmt w:val="bullet"/>
      <w:lvlText w:val="•"/>
      <w:lvlJc w:val="left"/>
      <w:pPr>
        <w:ind w:left="7470" w:hanging="312"/>
      </w:pPr>
      <w:rPr>
        <w:rFonts w:hint="default"/>
        <w:lang w:val="zh-CN" w:eastAsia="zh-CN" w:bidi="zh-CN"/>
      </w:rPr>
    </w:lvl>
    <w:lvl w:ilvl="6" w:tentative="0">
      <w:start w:val="0"/>
      <w:numFmt w:val="bullet"/>
      <w:lvlText w:val="•"/>
      <w:lvlJc w:val="left"/>
      <w:pPr>
        <w:ind w:left="8944" w:hanging="312"/>
      </w:pPr>
      <w:rPr>
        <w:rFonts w:hint="default"/>
        <w:lang w:val="zh-CN" w:eastAsia="zh-CN" w:bidi="zh-CN"/>
      </w:rPr>
    </w:lvl>
    <w:lvl w:ilvl="7" w:tentative="0">
      <w:start w:val="0"/>
      <w:numFmt w:val="bullet"/>
      <w:lvlText w:val="•"/>
      <w:lvlJc w:val="left"/>
      <w:pPr>
        <w:ind w:left="10418" w:hanging="312"/>
      </w:pPr>
      <w:rPr>
        <w:rFonts w:hint="default"/>
        <w:lang w:val="zh-CN" w:eastAsia="zh-CN" w:bidi="zh-CN"/>
      </w:rPr>
    </w:lvl>
    <w:lvl w:ilvl="8" w:tentative="0">
      <w:start w:val="0"/>
      <w:numFmt w:val="bullet"/>
      <w:lvlText w:val="•"/>
      <w:lvlJc w:val="left"/>
      <w:pPr>
        <w:ind w:left="11892" w:hanging="312"/>
      </w:pPr>
      <w:rPr>
        <w:rFonts w:hint="default"/>
        <w:lang w:val="zh-CN" w:eastAsia="zh-CN" w:bidi="zh-CN"/>
      </w:rPr>
    </w:lvl>
  </w:abstractNum>
  <w:abstractNum w:abstractNumId="10">
    <w:nsid w:val="00000013"/>
    <w:multiLevelType w:val="multilevel"/>
    <w:tmpl w:val="00000013"/>
    <w:lvl w:ilvl="0" w:tentative="0">
      <w:start w:val="1"/>
      <w:numFmt w:val="decimal"/>
      <w:lvlText w:val="%1."/>
      <w:lvlJc w:val="left"/>
      <w:pPr>
        <w:ind w:left="320"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772" w:hanging="213"/>
      </w:pPr>
      <w:rPr>
        <w:rFonts w:hint="default"/>
        <w:lang w:val="zh-CN" w:eastAsia="zh-CN" w:bidi="zh-CN"/>
      </w:rPr>
    </w:lvl>
    <w:lvl w:ilvl="2" w:tentative="0">
      <w:start w:val="0"/>
      <w:numFmt w:val="bullet"/>
      <w:lvlText w:val="•"/>
      <w:lvlJc w:val="left"/>
      <w:pPr>
        <w:ind w:left="3224" w:hanging="213"/>
      </w:pPr>
      <w:rPr>
        <w:rFonts w:hint="default"/>
        <w:lang w:val="zh-CN" w:eastAsia="zh-CN" w:bidi="zh-CN"/>
      </w:rPr>
    </w:lvl>
    <w:lvl w:ilvl="3" w:tentative="0">
      <w:start w:val="0"/>
      <w:numFmt w:val="bullet"/>
      <w:lvlText w:val="•"/>
      <w:lvlJc w:val="left"/>
      <w:pPr>
        <w:ind w:left="4676" w:hanging="213"/>
      </w:pPr>
      <w:rPr>
        <w:rFonts w:hint="default"/>
        <w:lang w:val="zh-CN" w:eastAsia="zh-CN" w:bidi="zh-CN"/>
      </w:rPr>
    </w:lvl>
    <w:lvl w:ilvl="4" w:tentative="0">
      <w:start w:val="0"/>
      <w:numFmt w:val="bullet"/>
      <w:lvlText w:val="•"/>
      <w:lvlJc w:val="left"/>
      <w:pPr>
        <w:ind w:left="6128" w:hanging="213"/>
      </w:pPr>
      <w:rPr>
        <w:rFonts w:hint="default"/>
        <w:lang w:val="zh-CN" w:eastAsia="zh-CN" w:bidi="zh-CN"/>
      </w:rPr>
    </w:lvl>
    <w:lvl w:ilvl="5" w:tentative="0">
      <w:start w:val="0"/>
      <w:numFmt w:val="bullet"/>
      <w:lvlText w:val="•"/>
      <w:lvlJc w:val="left"/>
      <w:pPr>
        <w:ind w:left="7580" w:hanging="213"/>
      </w:pPr>
      <w:rPr>
        <w:rFonts w:hint="default"/>
        <w:lang w:val="zh-CN" w:eastAsia="zh-CN" w:bidi="zh-CN"/>
      </w:rPr>
    </w:lvl>
    <w:lvl w:ilvl="6" w:tentative="0">
      <w:start w:val="0"/>
      <w:numFmt w:val="bullet"/>
      <w:lvlText w:val="•"/>
      <w:lvlJc w:val="left"/>
      <w:pPr>
        <w:ind w:left="9032" w:hanging="213"/>
      </w:pPr>
      <w:rPr>
        <w:rFonts w:hint="default"/>
        <w:lang w:val="zh-CN" w:eastAsia="zh-CN" w:bidi="zh-CN"/>
      </w:rPr>
    </w:lvl>
    <w:lvl w:ilvl="7" w:tentative="0">
      <w:start w:val="0"/>
      <w:numFmt w:val="bullet"/>
      <w:lvlText w:val="•"/>
      <w:lvlJc w:val="left"/>
      <w:pPr>
        <w:ind w:left="10484" w:hanging="213"/>
      </w:pPr>
      <w:rPr>
        <w:rFonts w:hint="default"/>
        <w:lang w:val="zh-CN" w:eastAsia="zh-CN" w:bidi="zh-CN"/>
      </w:rPr>
    </w:lvl>
    <w:lvl w:ilvl="8" w:tentative="0">
      <w:start w:val="0"/>
      <w:numFmt w:val="bullet"/>
      <w:lvlText w:val="•"/>
      <w:lvlJc w:val="left"/>
      <w:pPr>
        <w:ind w:left="11936" w:hanging="213"/>
      </w:pPr>
      <w:rPr>
        <w:rFonts w:hint="default"/>
        <w:lang w:val="zh-CN" w:eastAsia="zh-CN" w:bidi="zh-CN"/>
      </w:rPr>
    </w:lvl>
  </w:abstractNum>
  <w:abstractNum w:abstractNumId="11">
    <w:nsid w:val="00000014"/>
    <w:multiLevelType w:val="multilevel"/>
    <w:tmpl w:val="00000014"/>
    <w:lvl w:ilvl="0" w:tentative="0">
      <w:start w:val="1"/>
      <w:numFmt w:val="decimal"/>
      <w:lvlText w:val="%1."/>
      <w:lvlJc w:val="left"/>
      <w:pPr>
        <w:ind w:left="319" w:hanging="213"/>
      </w:pPr>
      <w:rPr>
        <w:rFonts w:hint="default" w:ascii="仿宋" w:hAnsi="仿宋" w:eastAsia="仿宋" w:cs="仿宋"/>
        <w:spacing w:val="-108"/>
        <w:w w:val="100"/>
        <w:sz w:val="19"/>
        <w:szCs w:val="19"/>
        <w:lang w:val="zh-CN" w:eastAsia="zh-CN" w:bidi="zh-CN"/>
      </w:rPr>
    </w:lvl>
    <w:lvl w:ilvl="1" w:tentative="0">
      <w:start w:val="0"/>
      <w:numFmt w:val="bullet"/>
      <w:lvlText w:val="•"/>
      <w:lvlJc w:val="left"/>
      <w:pPr>
        <w:ind w:left="652" w:hanging="213"/>
      </w:pPr>
      <w:rPr>
        <w:rFonts w:hint="default"/>
        <w:lang w:val="zh-CN" w:eastAsia="zh-CN" w:bidi="zh-CN"/>
      </w:rPr>
    </w:lvl>
    <w:lvl w:ilvl="2" w:tentative="0">
      <w:start w:val="0"/>
      <w:numFmt w:val="bullet"/>
      <w:lvlText w:val="•"/>
      <w:lvlJc w:val="left"/>
      <w:pPr>
        <w:ind w:left="985" w:hanging="213"/>
      </w:pPr>
      <w:rPr>
        <w:rFonts w:hint="default"/>
        <w:lang w:val="zh-CN" w:eastAsia="zh-CN" w:bidi="zh-CN"/>
      </w:rPr>
    </w:lvl>
    <w:lvl w:ilvl="3" w:tentative="0">
      <w:start w:val="0"/>
      <w:numFmt w:val="bullet"/>
      <w:lvlText w:val="•"/>
      <w:lvlJc w:val="left"/>
      <w:pPr>
        <w:ind w:left="1317" w:hanging="213"/>
      </w:pPr>
      <w:rPr>
        <w:rFonts w:hint="default"/>
        <w:lang w:val="zh-CN" w:eastAsia="zh-CN" w:bidi="zh-CN"/>
      </w:rPr>
    </w:lvl>
    <w:lvl w:ilvl="4" w:tentative="0">
      <w:start w:val="0"/>
      <w:numFmt w:val="bullet"/>
      <w:lvlText w:val="•"/>
      <w:lvlJc w:val="left"/>
      <w:pPr>
        <w:ind w:left="1650" w:hanging="213"/>
      </w:pPr>
      <w:rPr>
        <w:rFonts w:hint="default"/>
        <w:lang w:val="zh-CN" w:eastAsia="zh-CN" w:bidi="zh-CN"/>
      </w:rPr>
    </w:lvl>
    <w:lvl w:ilvl="5" w:tentative="0">
      <w:start w:val="0"/>
      <w:numFmt w:val="bullet"/>
      <w:lvlText w:val="•"/>
      <w:lvlJc w:val="left"/>
      <w:pPr>
        <w:ind w:left="1983" w:hanging="213"/>
      </w:pPr>
      <w:rPr>
        <w:rFonts w:hint="default"/>
        <w:lang w:val="zh-CN" w:eastAsia="zh-CN" w:bidi="zh-CN"/>
      </w:rPr>
    </w:lvl>
    <w:lvl w:ilvl="6" w:tentative="0">
      <w:start w:val="0"/>
      <w:numFmt w:val="bullet"/>
      <w:lvlText w:val="•"/>
      <w:lvlJc w:val="left"/>
      <w:pPr>
        <w:ind w:left="2315" w:hanging="213"/>
      </w:pPr>
      <w:rPr>
        <w:rFonts w:hint="default"/>
        <w:lang w:val="zh-CN" w:eastAsia="zh-CN" w:bidi="zh-CN"/>
      </w:rPr>
    </w:lvl>
    <w:lvl w:ilvl="7" w:tentative="0">
      <w:start w:val="0"/>
      <w:numFmt w:val="bullet"/>
      <w:lvlText w:val="•"/>
      <w:lvlJc w:val="left"/>
      <w:pPr>
        <w:ind w:left="2648" w:hanging="213"/>
      </w:pPr>
      <w:rPr>
        <w:rFonts w:hint="default"/>
        <w:lang w:val="zh-CN" w:eastAsia="zh-CN" w:bidi="zh-CN"/>
      </w:rPr>
    </w:lvl>
    <w:lvl w:ilvl="8" w:tentative="0">
      <w:start w:val="0"/>
      <w:numFmt w:val="bullet"/>
      <w:lvlText w:val="•"/>
      <w:lvlJc w:val="left"/>
      <w:pPr>
        <w:ind w:left="2980" w:hanging="213"/>
      </w:pPr>
      <w:rPr>
        <w:rFonts w:hint="default"/>
        <w:lang w:val="zh-CN" w:eastAsia="zh-CN" w:bidi="zh-CN"/>
      </w:rPr>
    </w:lvl>
  </w:abstractNum>
  <w:abstractNum w:abstractNumId="12">
    <w:nsid w:val="00000015"/>
    <w:multiLevelType w:val="multilevel"/>
    <w:tmpl w:val="00000015"/>
    <w:lvl w:ilvl="0" w:tentative="0">
      <w:start w:val="1"/>
      <w:numFmt w:val="decimal"/>
      <w:lvlText w:val="%1."/>
      <w:lvlJc w:val="left"/>
      <w:pPr>
        <w:ind w:left="107" w:hanging="213"/>
      </w:pPr>
      <w:rPr>
        <w:rFonts w:hint="default" w:ascii="仿宋" w:hAnsi="仿宋" w:eastAsia="仿宋" w:cs="仿宋"/>
        <w:spacing w:val="-106"/>
        <w:w w:val="100"/>
        <w:sz w:val="19"/>
        <w:szCs w:val="19"/>
        <w:lang w:val="zh-CN" w:eastAsia="zh-CN" w:bidi="zh-CN"/>
      </w:rPr>
    </w:lvl>
    <w:lvl w:ilvl="1" w:tentative="0">
      <w:start w:val="0"/>
      <w:numFmt w:val="bullet"/>
      <w:lvlText w:val="•"/>
      <w:lvlJc w:val="left"/>
      <w:pPr>
        <w:ind w:left="454" w:hanging="213"/>
      </w:pPr>
      <w:rPr>
        <w:rFonts w:hint="default"/>
        <w:lang w:val="zh-CN" w:eastAsia="zh-CN" w:bidi="zh-CN"/>
      </w:rPr>
    </w:lvl>
    <w:lvl w:ilvl="2" w:tentative="0">
      <w:start w:val="0"/>
      <w:numFmt w:val="bullet"/>
      <w:lvlText w:val="•"/>
      <w:lvlJc w:val="left"/>
      <w:pPr>
        <w:ind w:left="809" w:hanging="213"/>
      </w:pPr>
      <w:rPr>
        <w:rFonts w:hint="default"/>
        <w:lang w:val="zh-CN" w:eastAsia="zh-CN" w:bidi="zh-CN"/>
      </w:rPr>
    </w:lvl>
    <w:lvl w:ilvl="3" w:tentative="0">
      <w:start w:val="0"/>
      <w:numFmt w:val="bullet"/>
      <w:lvlText w:val="•"/>
      <w:lvlJc w:val="left"/>
      <w:pPr>
        <w:ind w:left="1163" w:hanging="213"/>
      </w:pPr>
      <w:rPr>
        <w:rFonts w:hint="default"/>
        <w:lang w:val="zh-CN" w:eastAsia="zh-CN" w:bidi="zh-CN"/>
      </w:rPr>
    </w:lvl>
    <w:lvl w:ilvl="4" w:tentative="0">
      <w:start w:val="0"/>
      <w:numFmt w:val="bullet"/>
      <w:lvlText w:val="•"/>
      <w:lvlJc w:val="left"/>
      <w:pPr>
        <w:ind w:left="1518" w:hanging="213"/>
      </w:pPr>
      <w:rPr>
        <w:rFonts w:hint="default"/>
        <w:lang w:val="zh-CN" w:eastAsia="zh-CN" w:bidi="zh-CN"/>
      </w:rPr>
    </w:lvl>
    <w:lvl w:ilvl="5" w:tentative="0">
      <w:start w:val="0"/>
      <w:numFmt w:val="bullet"/>
      <w:lvlText w:val="•"/>
      <w:lvlJc w:val="left"/>
      <w:pPr>
        <w:ind w:left="1873" w:hanging="213"/>
      </w:pPr>
      <w:rPr>
        <w:rFonts w:hint="default"/>
        <w:lang w:val="zh-CN" w:eastAsia="zh-CN" w:bidi="zh-CN"/>
      </w:rPr>
    </w:lvl>
    <w:lvl w:ilvl="6" w:tentative="0">
      <w:start w:val="0"/>
      <w:numFmt w:val="bullet"/>
      <w:lvlText w:val="•"/>
      <w:lvlJc w:val="left"/>
      <w:pPr>
        <w:ind w:left="2227" w:hanging="213"/>
      </w:pPr>
      <w:rPr>
        <w:rFonts w:hint="default"/>
        <w:lang w:val="zh-CN" w:eastAsia="zh-CN" w:bidi="zh-CN"/>
      </w:rPr>
    </w:lvl>
    <w:lvl w:ilvl="7" w:tentative="0">
      <w:start w:val="0"/>
      <w:numFmt w:val="bullet"/>
      <w:lvlText w:val="•"/>
      <w:lvlJc w:val="left"/>
      <w:pPr>
        <w:ind w:left="2582" w:hanging="213"/>
      </w:pPr>
      <w:rPr>
        <w:rFonts w:hint="default"/>
        <w:lang w:val="zh-CN" w:eastAsia="zh-CN" w:bidi="zh-CN"/>
      </w:rPr>
    </w:lvl>
    <w:lvl w:ilvl="8" w:tentative="0">
      <w:start w:val="0"/>
      <w:numFmt w:val="bullet"/>
      <w:lvlText w:val="•"/>
      <w:lvlJc w:val="left"/>
      <w:pPr>
        <w:ind w:left="2936" w:hanging="213"/>
      </w:pPr>
      <w:rPr>
        <w:rFonts w:hint="default"/>
        <w:lang w:val="zh-CN" w:eastAsia="zh-CN" w:bidi="zh-CN"/>
      </w:rPr>
    </w:lvl>
  </w:abstractNum>
  <w:abstractNum w:abstractNumId="13">
    <w:nsid w:val="00000016"/>
    <w:multiLevelType w:val="multilevel"/>
    <w:tmpl w:val="00000016"/>
    <w:lvl w:ilvl="0" w:tentative="0">
      <w:start w:val="1"/>
      <w:numFmt w:val="decimal"/>
      <w:lvlText w:val="%1."/>
      <w:lvlJc w:val="left"/>
      <w:pPr>
        <w:ind w:left="108" w:hanging="213"/>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1574" w:hanging="213"/>
      </w:pPr>
      <w:rPr>
        <w:rFonts w:hint="default"/>
        <w:lang w:val="zh-CN" w:eastAsia="zh-CN" w:bidi="zh-CN"/>
      </w:rPr>
    </w:lvl>
    <w:lvl w:ilvl="2" w:tentative="0">
      <w:start w:val="0"/>
      <w:numFmt w:val="bullet"/>
      <w:lvlText w:val="•"/>
      <w:lvlJc w:val="left"/>
      <w:pPr>
        <w:ind w:left="3048" w:hanging="213"/>
      </w:pPr>
      <w:rPr>
        <w:rFonts w:hint="default"/>
        <w:lang w:val="zh-CN" w:eastAsia="zh-CN" w:bidi="zh-CN"/>
      </w:rPr>
    </w:lvl>
    <w:lvl w:ilvl="3" w:tentative="0">
      <w:start w:val="0"/>
      <w:numFmt w:val="bullet"/>
      <w:lvlText w:val="•"/>
      <w:lvlJc w:val="left"/>
      <w:pPr>
        <w:ind w:left="4522" w:hanging="213"/>
      </w:pPr>
      <w:rPr>
        <w:rFonts w:hint="default"/>
        <w:lang w:val="zh-CN" w:eastAsia="zh-CN" w:bidi="zh-CN"/>
      </w:rPr>
    </w:lvl>
    <w:lvl w:ilvl="4" w:tentative="0">
      <w:start w:val="0"/>
      <w:numFmt w:val="bullet"/>
      <w:lvlText w:val="•"/>
      <w:lvlJc w:val="left"/>
      <w:pPr>
        <w:ind w:left="5996" w:hanging="213"/>
      </w:pPr>
      <w:rPr>
        <w:rFonts w:hint="default"/>
        <w:lang w:val="zh-CN" w:eastAsia="zh-CN" w:bidi="zh-CN"/>
      </w:rPr>
    </w:lvl>
    <w:lvl w:ilvl="5" w:tentative="0">
      <w:start w:val="0"/>
      <w:numFmt w:val="bullet"/>
      <w:lvlText w:val="•"/>
      <w:lvlJc w:val="left"/>
      <w:pPr>
        <w:ind w:left="7470" w:hanging="213"/>
      </w:pPr>
      <w:rPr>
        <w:rFonts w:hint="default"/>
        <w:lang w:val="zh-CN" w:eastAsia="zh-CN" w:bidi="zh-CN"/>
      </w:rPr>
    </w:lvl>
    <w:lvl w:ilvl="6" w:tentative="0">
      <w:start w:val="0"/>
      <w:numFmt w:val="bullet"/>
      <w:lvlText w:val="•"/>
      <w:lvlJc w:val="left"/>
      <w:pPr>
        <w:ind w:left="8944" w:hanging="213"/>
      </w:pPr>
      <w:rPr>
        <w:rFonts w:hint="default"/>
        <w:lang w:val="zh-CN" w:eastAsia="zh-CN" w:bidi="zh-CN"/>
      </w:rPr>
    </w:lvl>
    <w:lvl w:ilvl="7" w:tentative="0">
      <w:start w:val="0"/>
      <w:numFmt w:val="bullet"/>
      <w:lvlText w:val="•"/>
      <w:lvlJc w:val="left"/>
      <w:pPr>
        <w:ind w:left="10418" w:hanging="213"/>
      </w:pPr>
      <w:rPr>
        <w:rFonts w:hint="default"/>
        <w:lang w:val="zh-CN" w:eastAsia="zh-CN" w:bidi="zh-CN"/>
      </w:rPr>
    </w:lvl>
    <w:lvl w:ilvl="8" w:tentative="0">
      <w:start w:val="0"/>
      <w:numFmt w:val="bullet"/>
      <w:lvlText w:val="•"/>
      <w:lvlJc w:val="left"/>
      <w:pPr>
        <w:ind w:left="11892" w:hanging="213"/>
      </w:pPr>
      <w:rPr>
        <w:rFonts w:hint="default"/>
        <w:lang w:val="zh-CN" w:eastAsia="zh-CN" w:bidi="zh-CN"/>
      </w:rPr>
    </w:lvl>
  </w:abstractNum>
  <w:abstractNum w:abstractNumId="14">
    <w:nsid w:val="00000017"/>
    <w:multiLevelType w:val="multilevel"/>
    <w:tmpl w:val="00000017"/>
    <w:lvl w:ilvl="0" w:tentative="0">
      <w:start w:val="2"/>
      <w:numFmt w:val="decimal"/>
      <w:lvlText w:val="%1."/>
      <w:lvlJc w:val="left"/>
      <w:pPr>
        <w:ind w:left="320" w:hanging="213"/>
      </w:pPr>
      <w:rPr>
        <w:rFonts w:hint="default" w:ascii="仿宋" w:hAnsi="仿宋" w:eastAsia="仿宋" w:cs="仿宋"/>
        <w:spacing w:val="-55"/>
        <w:w w:val="100"/>
        <w:sz w:val="19"/>
        <w:szCs w:val="19"/>
        <w:lang w:val="zh-CN" w:eastAsia="zh-CN" w:bidi="zh-CN"/>
      </w:rPr>
    </w:lvl>
    <w:lvl w:ilvl="1" w:tentative="0">
      <w:start w:val="0"/>
      <w:numFmt w:val="bullet"/>
      <w:lvlText w:val="•"/>
      <w:lvlJc w:val="left"/>
      <w:pPr>
        <w:ind w:left="1458" w:hanging="213"/>
      </w:pPr>
      <w:rPr>
        <w:rFonts w:hint="default"/>
        <w:lang w:val="zh-CN" w:eastAsia="zh-CN" w:bidi="zh-CN"/>
      </w:rPr>
    </w:lvl>
    <w:lvl w:ilvl="2" w:tentative="0">
      <w:start w:val="0"/>
      <w:numFmt w:val="bullet"/>
      <w:lvlText w:val="•"/>
      <w:lvlJc w:val="left"/>
      <w:pPr>
        <w:ind w:left="2597" w:hanging="213"/>
      </w:pPr>
      <w:rPr>
        <w:rFonts w:hint="default"/>
        <w:lang w:val="zh-CN" w:eastAsia="zh-CN" w:bidi="zh-CN"/>
      </w:rPr>
    </w:lvl>
    <w:lvl w:ilvl="3" w:tentative="0">
      <w:start w:val="0"/>
      <w:numFmt w:val="bullet"/>
      <w:lvlText w:val="•"/>
      <w:lvlJc w:val="left"/>
      <w:pPr>
        <w:ind w:left="3736" w:hanging="213"/>
      </w:pPr>
      <w:rPr>
        <w:rFonts w:hint="default"/>
        <w:lang w:val="zh-CN" w:eastAsia="zh-CN" w:bidi="zh-CN"/>
      </w:rPr>
    </w:lvl>
    <w:lvl w:ilvl="4" w:tentative="0">
      <w:start w:val="0"/>
      <w:numFmt w:val="bullet"/>
      <w:lvlText w:val="•"/>
      <w:lvlJc w:val="left"/>
      <w:pPr>
        <w:ind w:left="4874" w:hanging="213"/>
      </w:pPr>
      <w:rPr>
        <w:rFonts w:hint="default"/>
        <w:lang w:val="zh-CN" w:eastAsia="zh-CN" w:bidi="zh-CN"/>
      </w:rPr>
    </w:lvl>
    <w:lvl w:ilvl="5" w:tentative="0">
      <w:start w:val="0"/>
      <w:numFmt w:val="bullet"/>
      <w:lvlText w:val="•"/>
      <w:lvlJc w:val="left"/>
      <w:pPr>
        <w:ind w:left="6013" w:hanging="213"/>
      </w:pPr>
      <w:rPr>
        <w:rFonts w:hint="default"/>
        <w:lang w:val="zh-CN" w:eastAsia="zh-CN" w:bidi="zh-CN"/>
      </w:rPr>
    </w:lvl>
    <w:lvl w:ilvl="6" w:tentative="0">
      <w:start w:val="0"/>
      <w:numFmt w:val="bullet"/>
      <w:lvlText w:val="•"/>
      <w:lvlJc w:val="left"/>
      <w:pPr>
        <w:ind w:left="7152" w:hanging="213"/>
      </w:pPr>
      <w:rPr>
        <w:rFonts w:hint="default"/>
        <w:lang w:val="zh-CN" w:eastAsia="zh-CN" w:bidi="zh-CN"/>
      </w:rPr>
    </w:lvl>
    <w:lvl w:ilvl="7" w:tentative="0">
      <w:start w:val="0"/>
      <w:numFmt w:val="bullet"/>
      <w:lvlText w:val="•"/>
      <w:lvlJc w:val="left"/>
      <w:pPr>
        <w:ind w:left="8290" w:hanging="213"/>
      </w:pPr>
      <w:rPr>
        <w:rFonts w:hint="default"/>
        <w:lang w:val="zh-CN" w:eastAsia="zh-CN" w:bidi="zh-CN"/>
      </w:rPr>
    </w:lvl>
    <w:lvl w:ilvl="8" w:tentative="0">
      <w:start w:val="0"/>
      <w:numFmt w:val="bullet"/>
      <w:lvlText w:val="•"/>
      <w:lvlJc w:val="left"/>
      <w:pPr>
        <w:ind w:left="9429" w:hanging="213"/>
      </w:pPr>
      <w:rPr>
        <w:rFonts w:hint="default"/>
        <w:lang w:val="zh-CN" w:eastAsia="zh-CN" w:bidi="zh-CN"/>
      </w:rPr>
    </w:lvl>
  </w:abstractNum>
  <w:abstractNum w:abstractNumId="15">
    <w:nsid w:val="00000018"/>
    <w:multiLevelType w:val="multilevel"/>
    <w:tmpl w:val="00000018"/>
    <w:lvl w:ilvl="0" w:tentative="0">
      <w:start w:val="1"/>
      <w:numFmt w:val="decimal"/>
      <w:lvlText w:val="%1."/>
      <w:lvlJc w:val="left"/>
      <w:pPr>
        <w:ind w:left="320"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58" w:hanging="213"/>
      </w:pPr>
      <w:rPr>
        <w:rFonts w:hint="default"/>
        <w:lang w:val="zh-CN" w:eastAsia="zh-CN" w:bidi="zh-CN"/>
      </w:rPr>
    </w:lvl>
    <w:lvl w:ilvl="2" w:tentative="0">
      <w:start w:val="0"/>
      <w:numFmt w:val="bullet"/>
      <w:lvlText w:val="•"/>
      <w:lvlJc w:val="left"/>
      <w:pPr>
        <w:ind w:left="2597" w:hanging="213"/>
      </w:pPr>
      <w:rPr>
        <w:rFonts w:hint="default"/>
        <w:lang w:val="zh-CN" w:eastAsia="zh-CN" w:bidi="zh-CN"/>
      </w:rPr>
    </w:lvl>
    <w:lvl w:ilvl="3" w:tentative="0">
      <w:start w:val="0"/>
      <w:numFmt w:val="bullet"/>
      <w:lvlText w:val="•"/>
      <w:lvlJc w:val="left"/>
      <w:pPr>
        <w:ind w:left="3736" w:hanging="213"/>
      </w:pPr>
      <w:rPr>
        <w:rFonts w:hint="default"/>
        <w:lang w:val="zh-CN" w:eastAsia="zh-CN" w:bidi="zh-CN"/>
      </w:rPr>
    </w:lvl>
    <w:lvl w:ilvl="4" w:tentative="0">
      <w:start w:val="0"/>
      <w:numFmt w:val="bullet"/>
      <w:lvlText w:val="•"/>
      <w:lvlJc w:val="left"/>
      <w:pPr>
        <w:ind w:left="4874" w:hanging="213"/>
      </w:pPr>
      <w:rPr>
        <w:rFonts w:hint="default"/>
        <w:lang w:val="zh-CN" w:eastAsia="zh-CN" w:bidi="zh-CN"/>
      </w:rPr>
    </w:lvl>
    <w:lvl w:ilvl="5" w:tentative="0">
      <w:start w:val="0"/>
      <w:numFmt w:val="bullet"/>
      <w:lvlText w:val="•"/>
      <w:lvlJc w:val="left"/>
      <w:pPr>
        <w:ind w:left="6013" w:hanging="213"/>
      </w:pPr>
      <w:rPr>
        <w:rFonts w:hint="default"/>
        <w:lang w:val="zh-CN" w:eastAsia="zh-CN" w:bidi="zh-CN"/>
      </w:rPr>
    </w:lvl>
    <w:lvl w:ilvl="6" w:tentative="0">
      <w:start w:val="0"/>
      <w:numFmt w:val="bullet"/>
      <w:lvlText w:val="•"/>
      <w:lvlJc w:val="left"/>
      <w:pPr>
        <w:ind w:left="7152" w:hanging="213"/>
      </w:pPr>
      <w:rPr>
        <w:rFonts w:hint="default"/>
        <w:lang w:val="zh-CN" w:eastAsia="zh-CN" w:bidi="zh-CN"/>
      </w:rPr>
    </w:lvl>
    <w:lvl w:ilvl="7" w:tentative="0">
      <w:start w:val="0"/>
      <w:numFmt w:val="bullet"/>
      <w:lvlText w:val="•"/>
      <w:lvlJc w:val="left"/>
      <w:pPr>
        <w:ind w:left="8290" w:hanging="213"/>
      </w:pPr>
      <w:rPr>
        <w:rFonts w:hint="default"/>
        <w:lang w:val="zh-CN" w:eastAsia="zh-CN" w:bidi="zh-CN"/>
      </w:rPr>
    </w:lvl>
    <w:lvl w:ilvl="8" w:tentative="0">
      <w:start w:val="0"/>
      <w:numFmt w:val="bullet"/>
      <w:lvlText w:val="•"/>
      <w:lvlJc w:val="left"/>
      <w:pPr>
        <w:ind w:left="9429" w:hanging="213"/>
      </w:pPr>
      <w:rPr>
        <w:rFonts w:hint="default"/>
        <w:lang w:val="zh-CN" w:eastAsia="zh-CN" w:bidi="zh-CN"/>
      </w:rPr>
    </w:lvl>
  </w:abstractNum>
  <w:abstractNum w:abstractNumId="16">
    <w:nsid w:val="00000019"/>
    <w:multiLevelType w:val="multilevel"/>
    <w:tmpl w:val="00000019"/>
    <w:lvl w:ilvl="0" w:tentative="0">
      <w:start w:val="3"/>
      <w:numFmt w:val="decimal"/>
      <w:lvlText w:val="%1."/>
      <w:lvlJc w:val="left"/>
      <w:pPr>
        <w:ind w:left="108" w:hanging="213"/>
      </w:pPr>
      <w:rPr>
        <w:rFonts w:hint="default" w:ascii="仿宋" w:hAnsi="仿宋" w:eastAsia="仿宋" w:cs="仿宋"/>
        <w:spacing w:val="-108"/>
        <w:w w:val="100"/>
        <w:sz w:val="19"/>
        <w:szCs w:val="19"/>
        <w:lang w:val="zh-CN" w:eastAsia="zh-CN" w:bidi="zh-CN"/>
      </w:rPr>
    </w:lvl>
    <w:lvl w:ilvl="1" w:tentative="0">
      <w:start w:val="0"/>
      <w:numFmt w:val="bullet"/>
      <w:lvlText w:val="•"/>
      <w:lvlJc w:val="left"/>
      <w:pPr>
        <w:ind w:left="1260" w:hanging="213"/>
      </w:pPr>
      <w:rPr>
        <w:rFonts w:hint="default"/>
        <w:lang w:val="zh-CN" w:eastAsia="zh-CN" w:bidi="zh-CN"/>
      </w:rPr>
    </w:lvl>
    <w:lvl w:ilvl="2" w:tentative="0">
      <w:start w:val="0"/>
      <w:numFmt w:val="bullet"/>
      <w:lvlText w:val="•"/>
      <w:lvlJc w:val="left"/>
      <w:pPr>
        <w:ind w:left="2421" w:hanging="213"/>
      </w:pPr>
      <w:rPr>
        <w:rFonts w:hint="default"/>
        <w:lang w:val="zh-CN" w:eastAsia="zh-CN" w:bidi="zh-CN"/>
      </w:rPr>
    </w:lvl>
    <w:lvl w:ilvl="3" w:tentative="0">
      <w:start w:val="0"/>
      <w:numFmt w:val="bullet"/>
      <w:lvlText w:val="•"/>
      <w:lvlJc w:val="left"/>
      <w:pPr>
        <w:ind w:left="3582" w:hanging="213"/>
      </w:pPr>
      <w:rPr>
        <w:rFonts w:hint="default"/>
        <w:lang w:val="zh-CN" w:eastAsia="zh-CN" w:bidi="zh-CN"/>
      </w:rPr>
    </w:lvl>
    <w:lvl w:ilvl="4" w:tentative="0">
      <w:start w:val="0"/>
      <w:numFmt w:val="bullet"/>
      <w:lvlText w:val="•"/>
      <w:lvlJc w:val="left"/>
      <w:pPr>
        <w:ind w:left="4742" w:hanging="213"/>
      </w:pPr>
      <w:rPr>
        <w:rFonts w:hint="default"/>
        <w:lang w:val="zh-CN" w:eastAsia="zh-CN" w:bidi="zh-CN"/>
      </w:rPr>
    </w:lvl>
    <w:lvl w:ilvl="5" w:tentative="0">
      <w:start w:val="0"/>
      <w:numFmt w:val="bullet"/>
      <w:lvlText w:val="•"/>
      <w:lvlJc w:val="left"/>
      <w:pPr>
        <w:ind w:left="5903" w:hanging="213"/>
      </w:pPr>
      <w:rPr>
        <w:rFonts w:hint="default"/>
        <w:lang w:val="zh-CN" w:eastAsia="zh-CN" w:bidi="zh-CN"/>
      </w:rPr>
    </w:lvl>
    <w:lvl w:ilvl="6" w:tentative="0">
      <w:start w:val="0"/>
      <w:numFmt w:val="bullet"/>
      <w:lvlText w:val="•"/>
      <w:lvlJc w:val="left"/>
      <w:pPr>
        <w:ind w:left="7064" w:hanging="213"/>
      </w:pPr>
      <w:rPr>
        <w:rFonts w:hint="default"/>
        <w:lang w:val="zh-CN" w:eastAsia="zh-CN" w:bidi="zh-CN"/>
      </w:rPr>
    </w:lvl>
    <w:lvl w:ilvl="7" w:tentative="0">
      <w:start w:val="0"/>
      <w:numFmt w:val="bullet"/>
      <w:lvlText w:val="•"/>
      <w:lvlJc w:val="left"/>
      <w:pPr>
        <w:ind w:left="8224" w:hanging="213"/>
      </w:pPr>
      <w:rPr>
        <w:rFonts w:hint="default"/>
        <w:lang w:val="zh-CN" w:eastAsia="zh-CN" w:bidi="zh-CN"/>
      </w:rPr>
    </w:lvl>
    <w:lvl w:ilvl="8" w:tentative="0">
      <w:start w:val="0"/>
      <w:numFmt w:val="bullet"/>
      <w:lvlText w:val="•"/>
      <w:lvlJc w:val="left"/>
      <w:pPr>
        <w:ind w:left="9385" w:hanging="213"/>
      </w:pPr>
      <w:rPr>
        <w:rFonts w:hint="default"/>
        <w:lang w:val="zh-CN" w:eastAsia="zh-CN" w:bidi="zh-CN"/>
      </w:rPr>
    </w:lvl>
  </w:abstractNum>
  <w:abstractNum w:abstractNumId="17">
    <w:nsid w:val="0000001A"/>
    <w:multiLevelType w:val="multilevel"/>
    <w:tmpl w:val="0000001A"/>
    <w:lvl w:ilvl="0" w:tentative="0">
      <w:start w:val="2"/>
      <w:numFmt w:val="decimal"/>
      <w:lvlText w:val="%1."/>
      <w:lvlJc w:val="left"/>
      <w:pPr>
        <w:ind w:left="320" w:hanging="213"/>
      </w:pPr>
      <w:rPr>
        <w:rFonts w:hint="default" w:ascii="仿宋" w:hAnsi="仿宋" w:eastAsia="仿宋" w:cs="仿宋"/>
        <w:spacing w:val="-55"/>
        <w:w w:val="100"/>
        <w:sz w:val="19"/>
        <w:szCs w:val="19"/>
        <w:lang w:val="zh-CN" w:eastAsia="zh-CN" w:bidi="zh-CN"/>
      </w:rPr>
    </w:lvl>
    <w:lvl w:ilvl="1" w:tentative="0">
      <w:start w:val="0"/>
      <w:numFmt w:val="bullet"/>
      <w:lvlText w:val="•"/>
      <w:lvlJc w:val="left"/>
      <w:pPr>
        <w:ind w:left="1458" w:hanging="213"/>
      </w:pPr>
      <w:rPr>
        <w:rFonts w:hint="default"/>
        <w:lang w:val="zh-CN" w:eastAsia="zh-CN" w:bidi="zh-CN"/>
      </w:rPr>
    </w:lvl>
    <w:lvl w:ilvl="2" w:tentative="0">
      <w:start w:val="0"/>
      <w:numFmt w:val="bullet"/>
      <w:lvlText w:val="•"/>
      <w:lvlJc w:val="left"/>
      <w:pPr>
        <w:ind w:left="2597" w:hanging="213"/>
      </w:pPr>
      <w:rPr>
        <w:rFonts w:hint="default"/>
        <w:lang w:val="zh-CN" w:eastAsia="zh-CN" w:bidi="zh-CN"/>
      </w:rPr>
    </w:lvl>
    <w:lvl w:ilvl="3" w:tentative="0">
      <w:start w:val="0"/>
      <w:numFmt w:val="bullet"/>
      <w:lvlText w:val="•"/>
      <w:lvlJc w:val="left"/>
      <w:pPr>
        <w:ind w:left="3736" w:hanging="213"/>
      </w:pPr>
      <w:rPr>
        <w:rFonts w:hint="default"/>
        <w:lang w:val="zh-CN" w:eastAsia="zh-CN" w:bidi="zh-CN"/>
      </w:rPr>
    </w:lvl>
    <w:lvl w:ilvl="4" w:tentative="0">
      <w:start w:val="0"/>
      <w:numFmt w:val="bullet"/>
      <w:lvlText w:val="•"/>
      <w:lvlJc w:val="left"/>
      <w:pPr>
        <w:ind w:left="4874" w:hanging="213"/>
      </w:pPr>
      <w:rPr>
        <w:rFonts w:hint="default"/>
        <w:lang w:val="zh-CN" w:eastAsia="zh-CN" w:bidi="zh-CN"/>
      </w:rPr>
    </w:lvl>
    <w:lvl w:ilvl="5" w:tentative="0">
      <w:start w:val="0"/>
      <w:numFmt w:val="bullet"/>
      <w:lvlText w:val="•"/>
      <w:lvlJc w:val="left"/>
      <w:pPr>
        <w:ind w:left="6013" w:hanging="213"/>
      </w:pPr>
      <w:rPr>
        <w:rFonts w:hint="default"/>
        <w:lang w:val="zh-CN" w:eastAsia="zh-CN" w:bidi="zh-CN"/>
      </w:rPr>
    </w:lvl>
    <w:lvl w:ilvl="6" w:tentative="0">
      <w:start w:val="0"/>
      <w:numFmt w:val="bullet"/>
      <w:lvlText w:val="•"/>
      <w:lvlJc w:val="left"/>
      <w:pPr>
        <w:ind w:left="7152" w:hanging="213"/>
      </w:pPr>
      <w:rPr>
        <w:rFonts w:hint="default"/>
        <w:lang w:val="zh-CN" w:eastAsia="zh-CN" w:bidi="zh-CN"/>
      </w:rPr>
    </w:lvl>
    <w:lvl w:ilvl="7" w:tentative="0">
      <w:start w:val="0"/>
      <w:numFmt w:val="bullet"/>
      <w:lvlText w:val="•"/>
      <w:lvlJc w:val="left"/>
      <w:pPr>
        <w:ind w:left="8290" w:hanging="213"/>
      </w:pPr>
      <w:rPr>
        <w:rFonts w:hint="default"/>
        <w:lang w:val="zh-CN" w:eastAsia="zh-CN" w:bidi="zh-CN"/>
      </w:rPr>
    </w:lvl>
    <w:lvl w:ilvl="8" w:tentative="0">
      <w:start w:val="0"/>
      <w:numFmt w:val="bullet"/>
      <w:lvlText w:val="•"/>
      <w:lvlJc w:val="left"/>
      <w:pPr>
        <w:ind w:left="9429" w:hanging="213"/>
      </w:pPr>
      <w:rPr>
        <w:rFonts w:hint="default"/>
        <w:lang w:val="zh-CN" w:eastAsia="zh-CN" w:bidi="zh-CN"/>
      </w:rPr>
    </w:lvl>
  </w:abstractNum>
  <w:abstractNum w:abstractNumId="18">
    <w:nsid w:val="0000001B"/>
    <w:multiLevelType w:val="multilevel"/>
    <w:tmpl w:val="0000001B"/>
    <w:lvl w:ilvl="0" w:tentative="0">
      <w:start w:val="1"/>
      <w:numFmt w:val="decimal"/>
      <w:lvlText w:val="%1."/>
      <w:lvlJc w:val="left"/>
      <w:pPr>
        <w:ind w:left="108"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262" w:hanging="160"/>
      </w:pPr>
      <w:rPr>
        <w:rFonts w:hint="default"/>
        <w:lang w:val="zh-CN" w:eastAsia="zh-CN" w:bidi="zh-CN"/>
      </w:rPr>
    </w:lvl>
    <w:lvl w:ilvl="2" w:tentative="0">
      <w:start w:val="0"/>
      <w:numFmt w:val="bullet"/>
      <w:lvlText w:val="•"/>
      <w:lvlJc w:val="left"/>
      <w:pPr>
        <w:ind w:left="2424" w:hanging="160"/>
      </w:pPr>
      <w:rPr>
        <w:rFonts w:hint="default"/>
        <w:lang w:val="zh-CN" w:eastAsia="zh-CN" w:bidi="zh-CN"/>
      </w:rPr>
    </w:lvl>
    <w:lvl w:ilvl="3" w:tentative="0">
      <w:start w:val="0"/>
      <w:numFmt w:val="bullet"/>
      <w:lvlText w:val="•"/>
      <w:lvlJc w:val="left"/>
      <w:pPr>
        <w:ind w:left="3586" w:hanging="160"/>
      </w:pPr>
      <w:rPr>
        <w:rFonts w:hint="default"/>
        <w:lang w:val="zh-CN" w:eastAsia="zh-CN" w:bidi="zh-CN"/>
      </w:rPr>
    </w:lvl>
    <w:lvl w:ilvl="4" w:tentative="0">
      <w:start w:val="0"/>
      <w:numFmt w:val="bullet"/>
      <w:lvlText w:val="•"/>
      <w:lvlJc w:val="left"/>
      <w:pPr>
        <w:ind w:left="4748" w:hanging="160"/>
      </w:pPr>
      <w:rPr>
        <w:rFonts w:hint="default"/>
        <w:lang w:val="zh-CN" w:eastAsia="zh-CN" w:bidi="zh-CN"/>
      </w:rPr>
    </w:lvl>
    <w:lvl w:ilvl="5" w:tentative="0">
      <w:start w:val="0"/>
      <w:numFmt w:val="bullet"/>
      <w:lvlText w:val="•"/>
      <w:lvlJc w:val="left"/>
      <w:pPr>
        <w:ind w:left="5911" w:hanging="160"/>
      </w:pPr>
      <w:rPr>
        <w:rFonts w:hint="default"/>
        <w:lang w:val="zh-CN" w:eastAsia="zh-CN" w:bidi="zh-CN"/>
      </w:rPr>
    </w:lvl>
    <w:lvl w:ilvl="6" w:tentative="0">
      <w:start w:val="0"/>
      <w:numFmt w:val="bullet"/>
      <w:lvlText w:val="•"/>
      <w:lvlJc w:val="left"/>
      <w:pPr>
        <w:ind w:left="7073" w:hanging="160"/>
      </w:pPr>
      <w:rPr>
        <w:rFonts w:hint="default"/>
        <w:lang w:val="zh-CN" w:eastAsia="zh-CN" w:bidi="zh-CN"/>
      </w:rPr>
    </w:lvl>
    <w:lvl w:ilvl="7" w:tentative="0">
      <w:start w:val="0"/>
      <w:numFmt w:val="bullet"/>
      <w:lvlText w:val="•"/>
      <w:lvlJc w:val="left"/>
      <w:pPr>
        <w:ind w:left="8235" w:hanging="160"/>
      </w:pPr>
      <w:rPr>
        <w:rFonts w:hint="default"/>
        <w:lang w:val="zh-CN" w:eastAsia="zh-CN" w:bidi="zh-CN"/>
      </w:rPr>
    </w:lvl>
    <w:lvl w:ilvl="8" w:tentative="0">
      <w:start w:val="0"/>
      <w:numFmt w:val="bullet"/>
      <w:lvlText w:val="•"/>
      <w:lvlJc w:val="left"/>
      <w:pPr>
        <w:ind w:left="9397" w:hanging="160"/>
      </w:pPr>
      <w:rPr>
        <w:rFonts w:hint="default"/>
        <w:lang w:val="zh-CN" w:eastAsia="zh-CN" w:bidi="zh-CN"/>
      </w:rPr>
    </w:lvl>
  </w:abstractNum>
  <w:abstractNum w:abstractNumId="19">
    <w:nsid w:val="0000001C"/>
    <w:multiLevelType w:val="multilevel"/>
    <w:tmpl w:val="0000001C"/>
    <w:lvl w:ilvl="0" w:tentative="0">
      <w:start w:val="1"/>
      <w:numFmt w:val="decimal"/>
      <w:lvlText w:val="%1."/>
      <w:lvlJc w:val="left"/>
      <w:pPr>
        <w:ind w:left="320" w:hanging="213"/>
      </w:pPr>
      <w:rPr>
        <w:rFonts w:hint="default" w:ascii="仿宋" w:hAnsi="仿宋" w:eastAsia="仿宋" w:cs="仿宋"/>
        <w:spacing w:val="-15"/>
        <w:w w:val="100"/>
        <w:sz w:val="19"/>
        <w:szCs w:val="19"/>
        <w:lang w:val="zh-CN" w:eastAsia="zh-CN" w:bidi="zh-CN"/>
      </w:rPr>
    </w:lvl>
    <w:lvl w:ilvl="1" w:tentative="0">
      <w:start w:val="0"/>
      <w:numFmt w:val="bullet"/>
      <w:lvlText w:val="•"/>
      <w:lvlJc w:val="left"/>
      <w:pPr>
        <w:ind w:left="1460" w:hanging="213"/>
      </w:pPr>
      <w:rPr>
        <w:rFonts w:hint="default"/>
        <w:lang w:val="zh-CN" w:eastAsia="zh-CN" w:bidi="zh-CN"/>
      </w:rPr>
    </w:lvl>
    <w:lvl w:ilvl="2" w:tentative="0">
      <w:start w:val="0"/>
      <w:numFmt w:val="bullet"/>
      <w:lvlText w:val="•"/>
      <w:lvlJc w:val="left"/>
      <w:pPr>
        <w:ind w:left="2600" w:hanging="213"/>
      </w:pPr>
      <w:rPr>
        <w:rFonts w:hint="default"/>
        <w:lang w:val="zh-CN" w:eastAsia="zh-CN" w:bidi="zh-CN"/>
      </w:rPr>
    </w:lvl>
    <w:lvl w:ilvl="3" w:tentative="0">
      <w:start w:val="0"/>
      <w:numFmt w:val="bullet"/>
      <w:lvlText w:val="•"/>
      <w:lvlJc w:val="left"/>
      <w:pPr>
        <w:ind w:left="3740" w:hanging="213"/>
      </w:pPr>
      <w:rPr>
        <w:rFonts w:hint="default"/>
        <w:lang w:val="zh-CN" w:eastAsia="zh-CN" w:bidi="zh-CN"/>
      </w:rPr>
    </w:lvl>
    <w:lvl w:ilvl="4" w:tentative="0">
      <w:start w:val="0"/>
      <w:numFmt w:val="bullet"/>
      <w:lvlText w:val="•"/>
      <w:lvlJc w:val="left"/>
      <w:pPr>
        <w:ind w:left="4880" w:hanging="213"/>
      </w:pPr>
      <w:rPr>
        <w:rFonts w:hint="default"/>
        <w:lang w:val="zh-CN" w:eastAsia="zh-CN" w:bidi="zh-CN"/>
      </w:rPr>
    </w:lvl>
    <w:lvl w:ilvl="5" w:tentative="0">
      <w:start w:val="0"/>
      <w:numFmt w:val="bullet"/>
      <w:lvlText w:val="•"/>
      <w:lvlJc w:val="left"/>
      <w:pPr>
        <w:ind w:left="6021" w:hanging="213"/>
      </w:pPr>
      <w:rPr>
        <w:rFonts w:hint="default"/>
        <w:lang w:val="zh-CN" w:eastAsia="zh-CN" w:bidi="zh-CN"/>
      </w:rPr>
    </w:lvl>
    <w:lvl w:ilvl="6" w:tentative="0">
      <w:start w:val="0"/>
      <w:numFmt w:val="bullet"/>
      <w:lvlText w:val="•"/>
      <w:lvlJc w:val="left"/>
      <w:pPr>
        <w:ind w:left="7161" w:hanging="213"/>
      </w:pPr>
      <w:rPr>
        <w:rFonts w:hint="default"/>
        <w:lang w:val="zh-CN" w:eastAsia="zh-CN" w:bidi="zh-CN"/>
      </w:rPr>
    </w:lvl>
    <w:lvl w:ilvl="7" w:tentative="0">
      <w:start w:val="0"/>
      <w:numFmt w:val="bullet"/>
      <w:lvlText w:val="•"/>
      <w:lvlJc w:val="left"/>
      <w:pPr>
        <w:ind w:left="8301" w:hanging="213"/>
      </w:pPr>
      <w:rPr>
        <w:rFonts w:hint="default"/>
        <w:lang w:val="zh-CN" w:eastAsia="zh-CN" w:bidi="zh-CN"/>
      </w:rPr>
    </w:lvl>
    <w:lvl w:ilvl="8" w:tentative="0">
      <w:start w:val="0"/>
      <w:numFmt w:val="bullet"/>
      <w:lvlText w:val="•"/>
      <w:lvlJc w:val="left"/>
      <w:pPr>
        <w:ind w:left="9441" w:hanging="213"/>
      </w:pPr>
      <w:rPr>
        <w:rFonts w:hint="default"/>
        <w:lang w:val="zh-CN" w:eastAsia="zh-CN" w:bidi="zh-CN"/>
      </w:rPr>
    </w:lvl>
  </w:abstractNum>
  <w:abstractNum w:abstractNumId="20">
    <w:nsid w:val="0000001D"/>
    <w:multiLevelType w:val="multilevel"/>
    <w:tmpl w:val="0000001D"/>
    <w:lvl w:ilvl="0" w:tentative="0">
      <w:start w:val="1"/>
      <w:numFmt w:val="decimal"/>
      <w:lvlText w:val="%1."/>
      <w:lvlJc w:val="left"/>
      <w:pPr>
        <w:ind w:left="108" w:hanging="213"/>
      </w:pPr>
      <w:rPr>
        <w:rFonts w:hint="default" w:ascii="仿宋" w:hAnsi="仿宋" w:eastAsia="仿宋" w:cs="仿宋"/>
        <w:spacing w:val="-17"/>
        <w:w w:val="100"/>
        <w:sz w:val="19"/>
        <w:szCs w:val="19"/>
        <w:lang w:val="zh-CN" w:eastAsia="zh-CN" w:bidi="zh-CN"/>
      </w:rPr>
    </w:lvl>
    <w:lvl w:ilvl="1" w:tentative="0">
      <w:start w:val="0"/>
      <w:numFmt w:val="bullet"/>
      <w:lvlText w:val="•"/>
      <w:lvlJc w:val="left"/>
      <w:pPr>
        <w:ind w:left="1262" w:hanging="213"/>
      </w:pPr>
      <w:rPr>
        <w:rFonts w:hint="default"/>
        <w:lang w:val="zh-CN" w:eastAsia="zh-CN" w:bidi="zh-CN"/>
      </w:rPr>
    </w:lvl>
    <w:lvl w:ilvl="2" w:tentative="0">
      <w:start w:val="0"/>
      <w:numFmt w:val="bullet"/>
      <w:lvlText w:val="•"/>
      <w:lvlJc w:val="left"/>
      <w:pPr>
        <w:ind w:left="2424" w:hanging="213"/>
      </w:pPr>
      <w:rPr>
        <w:rFonts w:hint="default"/>
        <w:lang w:val="zh-CN" w:eastAsia="zh-CN" w:bidi="zh-CN"/>
      </w:rPr>
    </w:lvl>
    <w:lvl w:ilvl="3" w:tentative="0">
      <w:start w:val="0"/>
      <w:numFmt w:val="bullet"/>
      <w:lvlText w:val="•"/>
      <w:lvlJc w:val="left"/>
      <w:pPr>
        <w:ind w:left="3586" w:hanging="213"/>
      </w:pPr>
      <w:rPr>
        <w:rFonts w:hint="default"/>
        <w:lang w:val="zh-CN" w:eastAsia="zh-CN" w:bidi="zh-CN"/>
      </w:rPr>
    </w:lvl>
    <w:lvl w:ilvl="4" w:tentative="0">
      <w:start w:val="0"/>
      <w:numFmt w:val="bullet"/>
      <w:lvlText w:val="•"/>
      <w:lvlJc w:val="left"/>
      <w:pPr>
        <w:ind w:left="4748" w:hanging="213"/>
      </w:pPr>
      <w:rPr>
        <w:rFonts w:hint="default"/>
        <w:lang w:val="zh-CN" w:eastAsia="zh-CN" w:bidi="zh-CN"/>
      </w:rPr>
    </w:lvl>
    <w:lvl w:ilvl="5" w:tentative="0">
      <w:start w:val="0"/>
      <w:numFmt w:val="bullet"/>
      <w:lvlText w:val="•"/>
      <w:lvlJc w:val="left"/>
      <w:pPr>
        <w:ind w:left="5911" w:hanging="213"/>
      </w:pPr>
      <w:rPr>
        <w:rFonts w:hint="default"/>
        <w:lang w:val="zh-CN" w:eastAsia="zh-CN" w:bidi="zh-CN"/>
      </w:rPr>
    </w:lvl>
    <w:lvl w:ilvl="6" w:tentative="0">
      <w:start w:val="0"/>
      <w:numFmt w:val="bullet"/>
      <w:lvlText w:val="•"/>
      <w:lvlJc w:val="left"/>
      <w:pPr>
        <w:ind w:left="7073" w:hanging="213"/>
      </w:pPr>
      <w:rPr>
        <w:rFonts w:hint="default"/>
        <w:lang w:val="zh-CN" w:eastAsia="zh-CN" w:bidi="zh-CN"/>
      </w:rPr>
    </w:lvl>
    <w:lvl w:ilvl="7" w:tentative="0">
      <w:start w:val="0"/>
      <w:numFmt w:val="bullet"/>
      <w:lvlText w:val="•"/>
      <w:lvlJc w:val="left"/>
      <w:pPr>
        <w:ind w:left="8235" w:hanging="213"/>
      </w:pPr>
      <w:rPr>
        <w:rFonts w:hint="default"/>
        <w:lang w:val="zh-CN" w:eastAsia="zh-CN" w:bidi="zh-CN"/>
      </w:rPr>
    </w:lvl>
    <w:lvl w:ilvl="8" w:tentative="0">
      <w:start w:val="0"/>
      <w:numFmt w:val="bullet"/>
      <w:lvlText w:val="•"/>
      <w:lvlJc w:val="left"/>
      <w:pPr>
        <w:ind w:left="9397" w:hanging="213"/>
      </w:pPr>
      <w:rPr>
        <w:rFonts w:hint="default"/>
        <w:lang w:val="zh-CN" w:eastAsia="zh-CN" w:bidi="zh-CN"/>
      </w:rPr>
    </w:lvl>
  </w:abstractNum>
  <w:abstractNum w:abstractNumId="21">
    <w:nsid w:val="0000001E"/>
    <w:multiLevelType w:val="multilevel"/>
    <w:tmpl w:val="0000001E"/>
    <w:lvl w:ilvl="0" w:tentative="0">
      <w:start w:val="1"/>
      <w:numFmt w:val="decimal"/>
      <w:lvlText w:val="%1."/>
      <w:lvlJc w:val="left"/>
      <w:pPr>
        <w:ind w:left="108" w:hanging="213"/>
      </w:pPr>
      <w:rPr>
        <w:rFonts w:hint="default" w:ascii="仿宋" w:hAnsi="仿宋" w:eastAsia="仿宋" w:cs="仿宋"/>
        <w:spacing w:val="-10"/>
        <w:w w:val="100"/>
        <w:sz w:val="19"/>
        <w:szCs w:val="19"/>
        <w:lang w:val="zh-CN" w:eastAsia="zh-CN" w:bidi="zh-CN"/>
      </w:rPr>
    </w:lvl>
    <w:lvl w:ilvl="1" w:tentative="0">
      <w:start w:val="0"/>
      <w:numFmt w:val="bullet"/>
      <w:lvlText w:val="•"/>
      <w:lvlJc w:val="left"/>
      <w:pPr>
        <w:ind w:left="1262" w:hanging="213"/>
      </w:pPr>
      <w:rPr>
        <w:rFonts w:hint="default"/>
        <w:lang w:val="zh-CN" w:eastAsia="zh-CN" w:bidi="zh-CN"/>
      </w:rPr>
    </w:lvl>
    <w:lvl w:ilvl="2" w:tentative="0">
      <w:start w:val="0"/>
      <w:numFmt w:val="bullet"/>
      <w:lvlText w:val="•"/>
      <w:lvlJc w:val="left"/>
      <w:pPr>
        <w:ind w:left="2424" w:hanging="213"/>
      </w:pPr>
      <w:rPr>
        <w:rFonts w:hint="default"/>
        <w:lang w:val="zh-CN" w:eastAsia="zh-CN" w:bidi="zh-CN"/>
      </w:rPr>
    </w:lvl>
    <w:lvl w:ilvl="3" w:tentative="0">
      <w:start w:val="0"/>
      <w:numFmt w:val="bullet"/>
      <w:lvlText w:val="•"/>
      <w:lvlJc w:val="left"/>
      <w:pPr>
        <w:ind w:left="3586" w:hanging="213"/>
      </w:pPr>
      <w:rPr>
        <w:rFonts w:hint="default"/>
        <w:lang w:val="zh-CN" w:eastAsia="zh-CN" w:bidi="zh-CN"/>
      </w:rPr>
    </w:lvl>
    <w:lvl w:ilvl="4" w:tentative="0">
      <w:start w:val="0"/>
      <w:numFmt w:val="bullet"/>
      <w:lvlText w:val="•"/>
      <w:lvlJc w:val="left"/>
      <w:pPr>
        <w:ind w:left="4748" w:hanging="213"/>
      </w:pPr>
      <w:rPr>
        <w:rFonts w:hint="default"/>
        <w:lang w:val="zh-CN" w:eastAsia="zh-CN" w:bidi="zh-CN"/>
      </w:rPr>
    </w:lvl>
    <w:lvl w:ilvl="5" w:tentative="0">
      <w:start w:val="0"/>
      <w:numFmt w:val="bullet"/>
      <w:lvlText w:val="•"/>
      <w:lvlJc w:val="left"/>
      <w:pPr>
        <w:ind w:left="5911" w:hanging="213"/>
      </w:pPr>
      <w:rPr>
        <w:rFonts w:hint="default"/>
        <w:lang w:val="zh-CN" w:eastAsia="zh-CN" w:bidi="zh-CN"/>
      </w:rPr>
    </w:lvl>
    <w:lvl w:ilvl="6" w:tentative="0">
      <w:start w:val="0"/>
      <w:numFmt w:val="bullet"/>
      <w:lvlText w:val="•"/>
      <w:lvlJc w:val="left"/>
      <w:pPr>
        <w:ind w:left="7073" w:hanging="213"/>
      </w:pPr>
      <w:rPr>
        <w:rFonts w:hint="default"/>
        <w:lang w:val="zh-CN" w:eastAsia="zh-CN" w:bidi="zh-CN"/>
      </w:rPr>
    </w:lvl>
    <w:lvl w:ilvl="7" w:tentative="0">
      <w:start w:val="0"/>
      <w:numFmt w:val="bullet"/>
      <w:lvlText w:val="•"/>
      <w:lvlJc w:val="left"/>
      <w:pPr>
        <w:ind w:left="8235" w:hanging="213"/>
      </w:pPr>
      <w:rPr>
        <w:rFonts w:hint="default"/>
        <w:lang w:val="zh-CN" w:eastAsia="zh-CN" w:bidi="zh-CN"/>
      </w:rPr>
    </w:lvl>
    <w:lvl w:ilvl="8" w:tentative="0">
      <w:start w:val="0"/>
      <w:numFmt w:val="bullet"/>
      <w:lvlText w:val="•"/>
      <w:lvlJc w:val="left"/>
      <w:pPr>
        <w:ind w:left="9397" w:hanging="213"/>
      </w:pPr>
      <w:rPr>
        <w:rFonts w:hint="default"/>
        <w:lang w:val="zh-CN" w:eastAsia="zh-CN" w:bidi="zh-CN"/>
      </w:rPr>
    </w:lvl>
  </w:abstractNum>
  <w:abstractNum w:abstractNumId="22">
    <w:nsid w:val="0000001F"/>
    <w:multiLevelType w:val="multilevel"/>
    <w:tmpl w:val="0000001F"/>
    <w:lvl w:ilvl="0" w:tentative="0">
      <w:start w:val="1"/>
      <w:numFmt w:val="decimal"/>
      <w:lvlText w:val="%1."/>
      <w:lvlJc w:val="left"/>
      <w:pPr>
        <w:ind w:left="320"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60" w:hanging="213"/>
      </w:pPr>
      <w:rPr>
        <w:rFonts w:hint="default"/>
        <w:lang w:val="zh-CN" w:eastAsia="zh-CN" w:bidi="zh-CN"/>
      </w:rPr>
    </w:lvl>
    <w:lvl w:ilvl="2" w:tentative="0">
      <w:start w:val="0"/>
      <w:numFmt w:val="bullet"/>
      <w:lvlText w:val="•"/>
      <w:lvlJc w:val="left"/>
      <w:pPr>
        <w:ind w:left="2600" w:hanging="213"/>
      </w:pPr>
      <w:rPr>
        <w:rFonts w:hint="default"/>
        <w:lang w:val="zh-CN" w:eastAsia="zh-CN" w:bidi="zh-CN"/>
      </w:rPr>
    </w:lvl>
    <w:lvl w:ilvl="3" w:tentative="0">
      <w:start w:val="0"/>
      <w:numFmt w:val="bullet"/>
      <w:lvlText w:val="•"/>
      <w:lvlJc w:val="left"/>
      <w:pPr>
        <w:ind w:left="3740" w:hanging="213"/>
      </w:pPr>
      <w:rPr>
        <w:rFonts w:hint="default"/>
        <w:lang w:val="zh-CN" w:eastAsia="zh-CN" w:bidi="zh-CN"/>
      </w:rPr>
    </w:lvl>
    <w:lvl w:ilvl="4" w:tentative="0">
      <w:start w:val="0"/>
      <w:numFmt w:val="bullet"/>
      <w:lvlText w:val="•"/>
      <w:lvlJc w:val="left"/>
      <w:pPr>
        <w:ind w:left="4880" w:hanging="213"/>
      </w:pPr>
      <w:rPr>
        <w:rFonts w:hint="default"/>
        <w:lang w:val="zh-CN" w:eastAsia="zh-CN" w:bidi="zh-CN"/>
      </w:rPr>
    </w:lvl>
    <w:lvl w:ilvl="5" w:tentative="0">
      <w:start w:val="0"/>
      <w:numFmt w:val="bullet"/>
      <w:lvlText w:val="•"/>
      <w:lvlJc w:val="left"/>
      <w:pPr>
        <w:ind w:left="6021" w:hanging="213"/>
      </w:pPr>
      <w:rPr>
        <w:rFonts w:hint="default"/>
        <w:lang w:val="zh-CN" w:eastAsia="zh-CN" w:bidi="zh-CN"/>
      </w:rPr>
    </w:lvl>
    <w:lvl w:ilvl="6" w:tentative="0">
      <w:start w:val="0"/>
      <w:numFmt w:val="bullet"/>
      <w:lvlText w:val="•"/>
      <w:lvlJc w:val="left"/>
      <w:pPr>
        <w:ind w:left="7161" w:hanging="213"/>
      </w:pPr>
      <w:rPr>
        <w:rFonts w:hint="default"/>
        <w:lang w:val="zh-CN" w:eastAsia="zh-CN" w:bidi="zh-CN"/>
      </w:rPr>
    </w:lvl>
    <w:lvl w:ilvl="7" w:tentative="0">
      <w:start w:val="0"/>
      <w:numFmt w:val="bullet"/>
      <w:lvlText w:val="•"/>
      <w:lvlJc w:val="left"/>
      <w:pPr>
        <w:ind w:left="8301" w:hanging="213"/>
      </w:pPr>
      <w:rPr>
        <w:rFonts w:hint="default"/>
        <w:lang w:val="zh-CN" w:eastAsia="zh-CN" w:bidi="zh-CN"/>
      </w:rPr>
    </w:lvl>
    <w:lvl w:ilvl="8" w:tentative="0">
      <w:start w:val="0"/>
      <w:numFmt w:val="bullet"/>
      <w:lvlText w:val="•"/>
      <w:lvlJc w:val="left"/>
      <w:pPr>
        <w:ind w:left="9441" w:hanging="213"/>
      </w:pPr>
      <w:rPr>
        <w:rFonts w:hint="default"/>
        <w:lang w:val="zh-CN" w:eastAsia="zh-CN" w:bidi="zh-CN"/>
      </w:rPr>
    </w:lvl>
  </w:abstractNum>
  <w:abstractNum w:abstractNumId="23">
    <w:nsid w:val="00000020"/>
    <w:multiLevelType w:val="multilevel"/>
    <w:tmpl w:val="00000020"/>
    <w:lvl w:ilvl="0" w:tentative="0">
      <w:start w:val="1"/>
      <w:numFmt w:val="decimal"/>
      <w:lvlText w:val="%1."/>
      <w:lvlJc w:val="left"/>
      <w:pPr>
        <w:ind w:left="320" w:hanging="213"/>
      </w:pPr>
      <w:rPr>
        <w:rFonts w:hint="default" w:ascii="仿宋" w:hAnsi="仿宋" w:eastAsia="仿宋" w:cs="仿宋"/>
        <w:spacing w:val="-32"/>
        <w:w w:val="100"/>
        <w:sz w:val="19"/>
        <w:szCs w:val="19"/>
        <w:lang w:val="zh-CN" w:eastAsia="zh-CN" w:bidi="zh-CN"/>
      </w:rPr>
    </w:lvl>
    <w:lvl w:ilvl="1" w:tentative="0">
      <w:start w:val="0"/>
      <w:numFmt w:val="bullet"/>
      <w:lvlText w:val="•"/>
      <w:lvlJc w:val="left"/>
      <w:pPr>
        <w:ind w:left="1460" w:hanging="213"/>
      </w:pPr>
      <w:rPr>
        <w:rFonts w:hint="default"/>
        <w:lang w:val="zh-CN" w:eastAsia="zh-CN" w:bidi="zh-CN"/>
      </w:rPr>
    </w:lvl>
    <w:lvl w:ilvl="2" w:tentative="0">
      <w:start w:val="0"/>
      <w:numFmt w:val="bullet"/>
      <w:lvlText w:val="•"/>
      <w:lvlJc w:val="left"/>
      <w:pPr>
        <w:ind w:left="2600" w:hanging="213"/>
      </w:pPr>
      <w:rPr>
        <w:rFonts w:hint="default"/>
        <w:lang w:val="zh-CN" w:eastAsia="zh-CN" w:bidi="zh-CN"/>
      </w:rPr>
    </w:lvl>
    <w:lvl w:ilvl="3" w:tentative="0">
      <w:start w:val="0"/>
      <w:numFmt w:val="bullet"/>
      <w:lvlText w:val="•"/>
      <w:lvlJc w:val="left"/>
      <w:pPr>
        <w:ind w:left="3740" w:hanging="213"/>
      </w:pPr>
      <w:rPr>
        <w:rFonts w:hint="default"/>
        <w:lang w:val="zh-CN" w:eastAsia="zh-CN" w:bidi="zh-CN"/>
      </w:rPr>
    </w:lvl>
    <w:lvl w:ilvl="4" w:tentative="0">
      <w:start w:val="0"/>
      <w:numFmt w:val="bullet"/>
      <w:lvlText w:val="•"/>
      <w:lvlJc w:val="left"/>
      <w:pPr>
        <w:ind w:left="4880" w:hanging="213"/>
      </w:pPr>
      <w:rPr>
        <w:rFonts w:hint="default"/>
        <w:lang w:val="zh-CN" w:eastAsia="zh-CN" w:bidi="zh-CN"/>
      </w:rPr>
    </w:lvl>
    <w:lvl w:ilvl="5" w:tentative="0">
      <w:start w:val="0"/>
      <w:numFmt w:val="bullet"/>
      <w:lvlText w:val="•"/>
      <w:lvlJc w:val="left"/>
      <w:pPr>
        <w:ind w:left="6021" w:hanging="213"/>
      </w:pPr>
      <w:rPr>
        <w:rFonts w:hint="default"/>
        <w:lang w:val="zh-CN" w:eastAsia="zh-CN" w:bidi="zh-CN"/>
      </w:rPr>
    </w:lvl>
    <w:lvl w:ilvl="6" w:tentative="0">
      <w:start w:val="0"/>
      <w:numFmt w:val="bullet"/>
      <w:lvlText w:val="•"/>
      <w:lvlJc w:val="left"/>
      <w:pPr>
        <w:ind w:left="7161" w:hanging="213"/>
      </w:pPr>
      <w:rPr>
        <w:rFonts w:hint="default"/>
        <w:lang w:val="zh-CN" w:eastAsia="zh-CN" w:bidi="zh-CN"/>
      </w:rPr>
    </w:lvl>
    <w:lvl w:ilvl="7" w:tentative="0">
      <w:start w:val="0"/>
      <w:numFmt w:val="bullet"/>
      <w:lvlText w:val="•"/>
      <w:lvlJc w:val="left"/>
      <w:pPr>
        <w:ind w:left="8301" w:hanging="213"/>
      </w:pPr>
      <w:rPr>
        <w:rFonts w:hint="default"/>
        <w:lang w:val="zh-CN" w:eastAsia="zh-CN" w:bidi="zh-CN"/>
      </w:rPr>
    </w:lvl>
    <w:lvl w:ilvl="8" w:tentative="0">
      <w:start w:val="0"/>
      <w:numFmt w:val="bullet"/>
      <w:lvlText w:val="•"/>
      <w:lvlJc w:val="left"/>
      <w:pPr>
        <w:ind w:left="9441" w:hanging="213"/>
      </w:pPr>
      <w:rPr>
        <w:rFonts w:hint="default"/>
        <w:lang w:val="zh-CN" w:eastAsia="zh-CN" w:bidi="zh-CN"/>
      </w:rPr>
    </w:lvl>
  </w:abstractNum>
  <w:abstractNum w:abstractNumId="24">
    <w:nsid w:val="00000021"/>
    <w:multiLevelType w:val="multilevel"/>
    <w:tmpl w:val="00000021"/>
    <w:lvl w:ilvl="0" w:tentative="0">
      <w:start w:val="1"/>
      <w:numFmt w:val="decimal"/>
      <w:lvlText w:val="%1."/>
      <w:lvlJc w:val="left"/>
      <w:pPr>
        <w:ind w:left="108"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262" w:hanging="160"/>
      </w:pPr>
      <w:rPr>
        <w:rFonts w:hint="default"/>
        <w:lang w:val="zh-CN" w:eastAsia="zh-CN" w:bidi="zh-CN"/>
      </w:rPr>
    </w:lvl>
    <w:lvl w:ilvl="2" w:tentative="0">
      <w:start w:val="0"/>
      <w:numFmt w:val="bullet"/>
      <w:lvlText w:val="•"/>
      <w:lvlJc w:val="left"/>
      <w:pPr>
        <w:ind w:left="2424" w:hanging="160"/>
      </w:pPr>
      <w:rPr>
        <w:rFonts w:hint="default"/>
        <w:lang w:val="zh-CN" w:eastAsia="zh-CN" w:bidi="zh-CN"/>
      </w:rPr>
    </w:lvl>
    <w:lvl w:ilvl="3" w:tentative="0">
      <w:start w:val="0"/>
      <w:numFmt w:val="bullet"/>
      <w:lvlText w:val="•"/>
      <w:lvlJc w:val="left"/>
      <w:pPr>
        <w:ind w:left="3586" w:hanging="160"/>
      </w:pPr>
      <w:rPr>
        <w:rFonts w:hint="default"/>
        <w:lang w:val="zh-CN" w:eastAsia="zh-CN" w:bidi="zh-CN"/>
      </w:rPr>
    </w:lvl>
    <w:lvl w:ilvl="4" w:tentative="0">
      <w:start w:val="0"/>
      <w:numFmt w:val="bullet"/>
      <w:lvlText w:val="•"/>
      <w:lvlJc w:val="left"/>
      <w:pPr>
        <w:ind w:left="4748" w:hanging="160"/>
      </w:pPr>
      <w:rPr>
        <w:rFonts w:hint="default"/>
        <w:lang w:val="zh-CN" w:eastAsia="zh-CN" w:bidi="zh-CN"/>
      </w:rPr>
    </w:lvl>
    <w:lvl w:ilvl="5" w:tentative="0">
      <w:start w:val="0"/>
      <w:numFmt w:val="bullet"/>
      <w:lvlText w:val="•"/>
      <w:lvlJc w:val="left"/>
      <w:pPr>
        <w:ind w:left="5911" w:hanging="160"/>
      </w:pPr>
      <w:rPr>
        <w:rFonts w:hint="default"/>
        <w:lang w:val="zh-CN" w:eastAsia="zh-CN" w:bidi="zh-CN"/>
      </w:rPr>
    </w:lvl>
    <w:lvl w:ilvl="6" w:tentative="0">
      <w:start w:val="0"/>
      <w:numFmt w:val="bullet"/>
      <w:lvlText w:val="•"/>
      <w:lvlJc w:val="left"/>
      <w:pPr>
        <w:ind w:left="7073" w:hanging="160"/>
      </w:pPr>
      <w:rPr>
        <w:rFonts w:hint="default"/>
        <w:lang w:val="zh-CN" w:eastAsia="zh-CN" w:bidi="zh-CN"/>
      </w:rPr>
    </w:lvl>
    <w:lvl w:ilvl="7" w:tentative="0">
      <w:start w:val="0"/>
      <w:numFmt w:val="bullet"/>
      <w:lvlText w:val="•"/>
      <w:lvlJc w:val="left"/>
      <w:pPr>
        <w:ind w:left="8235" w:hanging="160"/>
      </w:pPr>
      <w:rPr>
        <w:rFonts w:hint="default"/>
        <w:lang w:val="zh-CN" w:eastAsia="zh-CN" w:bidi="zh-CN"/>
      </w:rPr>
    </w:lvl>
    <w:lvl w:ilvl="8" w:tentative="0">
      <w:start w:val="0"/>
      <w:numFmt w:val="bullet"/>
      <w:lvlText w:val="•"/>
      <w:lvlJc w:val="left"/>
      <w:pPr>
        <w:ind w:left="9397" w:hanging="160"/>
      </w:pPr>
      <w:rPr>
        <w:rFonts w:hint="default"/>
        <w:lang w:val="zh-CN" w:eastAsia="zh-CN" w:bidi="zh-CN"/>
      </w:rPr>
    </w:lvl>
  </w:abstractNum>
  <w:abstractNum w:abstractNumId="25">
    <w:nsid w:val="00000022"/>
    <w:multiLevelType w:val="multilevel"/>
    <w:tmpl w:val="00000022"/>
    <w:lvl w:ilvl="0" w:tentative="0">
      <w:start w:val="2"/>
      <w:numFmt w:val="decimal"/>
      <w:lvlText w:val="%1."/>
      <w:lvlJc w:val="left"/>
      <w:pPr>
        <w:ind w:left="109" w:hanging="317"/>
      </w:pPr>
      <w:rPr>
        <w:rFonts w:hint="default" w:ascii="仿宋" w:hAnsi="仿宋" w:eastAsia="仿宋" w:cs="仿宋"/>
        <w:w w:val="100"/>
        <w:sz w:val="21"/>
        <w:szCs w:val="21"/>
        <w:lang w:val="zh-CN" w:eastAsia="zh-CN" w:bidi="zh-CN"/>
      </w:rPr>
    </w:lvl>
    <w:lvl w:ilvl="1" w:tentative="0">
      <w:start w:val="0"/>
      <w:numFmt w:val="bullet"/>
      <w:lvlText w:val="•"/>
      <w:lvlJc w:val="left"/>
      <w:pPr>
        <w:ind w:left="1261" w:hanging="317"/>
      </w:pPr>
      <w:rPr>
        <w:rFonts w:hint="default"/>
        <w:lang w:val="zh-CN" w:eastAsia="zh-CN" w:bidi="zh-CN"/>
      </w:rPr>
    </w:lvl>
    <w:lvl w:ilvl="2" w:tentative="0">
      <w:start w:val="0"/>
      <w:numFmt w:val="bullet"/>
      <w:lvlText w:val="•"/>
      <w:lvlJc w:val="left"/>
      <w:pPr>
        <w:ind w:left="2423" w:hanging="317"/>
      </w:pPr>
      <w:rPr>
        <w:rFonts w:hint="default"/>
        <w:lang w:val="zh-CN" w:eastAsia="zh-CN" w:bidi="zh-CN"/>
      </w:rPr>
    </w:lvl>
    <w:lvl w:ilvl="3" w:tentative="0">
      <w:start w:val="0"/>
      <w:numFmt w:val="bullet"/>
      <w:lvlText w:val="•"/>
      <w:lvlJc w:val="left"/>
      <w:pPr>
        <w:ind w:left="3585" w:hanging="317"/>
      </w:pPr>
      <w:rPr>
        <w:rFonts w:hint="default"/>
        <w:lang w:val="zh-CN" w:eastAsia="zh-CN" w:bidi="zh-CN"/>
      </w:rPr>
    </w:lvl>
    <w:lvl w:ilvl="4" w:tentative="0">
      <w:start w:val="0"/>
      <w:numFmt w:val="bullet"/>
      <w:lvlText w:val="•"/>
      <w:lvlJc w:val="left"/>
      <w:pPr>
        <w:ind w:left="4747" w:hanging="317"/>
      </w:pPr>
      <w:rPr>
        <w:rFonts w:hint="default"/>
        <w:lang w:val="zh-CN" w:eastAsia="zh-CN" w:bidi="zh-CN"/>
      </w:rPr>
    </w:lvl>
    <w:lvl w:ilvl="5" w:tentative="0">
      <w:start w:val="0"/>
      <w:numFmt w:val="bullet"/>
      <w:lvlText w:val="•"/>
      <w:lvlJc w:val="left"/>
      <w:pPr>
        <w:ind w:left="5909" w:hanging="317"/>
      </w:pPr>
      <w:rPr>
        <w:rFonts w:hint="default"/>
        <w:lang w:val="zh-CN" w:eastAsia="zh-CN" w:bidi="zh-CN"/>
      </w:rPr>
    </w:lvl>
    <w:lvl w:ilvl="6" w:tentative="0">
      <w:start w:val="0"/>
      <w:numFmt w:val="bullet"/>
      <w:lvlText w:val="•"/>
      <w:lvlJc w:val="left"/>
      <w:pPr>
        <w:ind w:left="7070" w:hanging="317"/>
      </w:pPr>
      <w:rPr>
        <w:rFonts w:hint="default"/>
        <w:lang w:val="zh-CN" w:eastAsia="zh-CN" w:bidi="zh-CN"/>
      </w:rPr>
    </w:lvl>
    <w:lvl w:ilvl="7" w:tentative="0">
      <w:start w:val="0"/>
      <w:numFmt w:val="bullet"/>
      <w:lvlText w:val="•"/>
      <w:lvlJc w:val="left"/>
      <w:pPr>
        <w:ind w:left="8232" w:hanging="317"/>
      </w:pPr>
      <w:rPr>
        <w:rFonts w:hint="default"/>
        <w:lang w:val="zh-CN" w:eastAsia="zh-CN" w:bidi="zh-CN"/>
      </w:rPr>
    </w:lvl>
    <w:lvl w:ilvl="8" w:tentative="0">
      <w:start w:val="0"/>
      <w:numFmt w:val="bullet"/>
      <w:lvlText w:val="•"/>
      <w:lvlJc w:val="left"/>
      <w:pPr>
        <w:ind w:left="9394" w:hanging="317"/>
      </w:pPr>
      <w:rPr>
        <w:rFonts w:hint="default"/>
        <w:lang w:val="zh-CN" w:eastAsia="zh-CN" w:bidi="zh-CN"/>
      </w:rPr>
    </w:lvl>
  </w:abstractNum>
  <w:abstractNum w:abstractNumId="26">
    <w:nsid w:val="00000023"/>
    <w:multiLevelType w:val="multilevel"/>
    <w:tmpl w:val="00000023"/>
    <w:lvl w:ilvl="0" w:tentative="0">
      <w:start w:val="1"/>
      <w:numFmt w:val="decimal"/>
      <w:lvlText w:val="%1."/>
      <w:lvlJc w:val="left"/>
      <w:pPr>
        <w:ind w:left="321"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59" w:hanging="213"/>
      </w:pPr>
      <w:rPr>
        <w:rFonts w:hint="default"/>
        <w:lang w:val="zh-CN" w:eastAsia="zh-CN" w:bidi="zh-CN"/>
      </w:rPr>
    </w:lvl>
    <w:lvl w:ilvl="2" w:tentative="0">
      <w:start w:val="0"/>
      <w:numFmt w:val="bullet"/>
      <w:lvlText w:val="•"/>
      <w:lvlJc w:val="left"/>
      <w:pPr>
        <w:ind w:left="2599" w:hanging="213"/>
      </w:pPr>
      <w:rPr>
        <w:rFonts w:hint="default"/>
        <w:lang w:val="zh-CN" w:eastAsia="zh-CN" w:bidi="zh-CN"/>
      </w:rPr>
    </w:lvl>
    <w:lvl w:ilvl="3" w:tentative="0">
      <w:start w:val="0"/>
      <w:numFmt w:val="bullet"/>
      <w:lvlText w:val="•"/>
      <w:lvlJc w:val="left"/>
      <w:pPr>
        <w:ind w:left="3739" w:hanging="213"/>
      </w:pPr>
      <w:rPr>
        <w:rFonts w:hint="default"/>
        <w:lang w:val="zh-CN" w:eastAsia="zh-CN" w:bidi="zh-CN"/>
      </w:rPr>
    </w:lvl>
    <w:lvl w:ilvl="4" w:tentative="0">
      <w:start w:val="0"/>
      <w:numFmt w:val="bullet"/>
      <w:lvlText w:val="•"/>
      <w:lvlJc w:val="left"/>
      <w:pPr>
        <w:ind w:left="4879" w:hanging="213"/>
      </w:pPr>
      <w:rPr>
        <w:rFonts w:hint="default"/>
        <w:lang w:val="zh-CN" w:eastAsia="zh-CN" w:bidi="zh-CN"/>
      </w:rPr>
    </w:lvl>
    <w:lvl w:ilvl="5" w:tentative="0">
      <w:start w:val="0"/>
      <w:numFmt w:val="bullet"/>
      <w:lvlText w:val="•"/>
      <w:lvlJc w:val="left"/>
      <w:pPr>
        <w:ind w:left="6019" w:hanging="213"/>
      </w:pPr>
      <w:rPr>
        <w:rFonts w:hint="default"/>
        <w:lang w:val="zh-CN" w:eastAsia="zh-CN" w:bidi="zh-CN"/>
      </w:rPr>
    </w:lvl>
    <w:lvl w:ilvl="6" w:tentative="0">
      <w:start w:val="0"/>
      <w:numFmt w:val="bullet"/>
      <w:lvlText w:val="•"/>
      <w:lvlJc w:val="left"/>
      <w:pPr>
        <w:ind w:left="7158" w:hanging="213"/>
      </w:pPr>
      <w:rPr>
        <w:rFonts w:hint="default"/>
        <w:lang w:val="zh-CN" w:eastAsia="zh-CN" w:bidi="zh-CN"/>
      </w:rPr>
    </w:lvl>
    <w:lvl w:ilvl="7" w:tentative="0">
      <w:start w:val="0"/>
      <w:numFmt w:val="bullet"/>
      <w:lvlText w:val="•"/>
      <w:lvlJc w:val="left"/>
      <w:pPr>
        <w:ind w:left="8298" w:hanging="213"/>
      </w:pPr>
      <w:rPr>
        <w:rFonts w:hint="default"/>
        <w:lang w:val="zh-CN" w:eastAsia="zh-CN" w:bidi="zh-CN"/>
      </w:rPr>
    </w:lvl>
    <w:lvl w:ilvl="8" w:tentative="0">
      <w:start w:val="0"/>
      <w:numFmt w:val="bullet"/>
      <w:lvlText w:val="•"/>
      <w:lvlJc w:val="left"/>
      <w:pPr>
        <w:ind w:left="9438" w:hanging="213"/>
      </w:pPr>
      <w:rPr>
        <w:rFonts w:hint="default"/>
        <w:lang w:val="zh-CN" w:eastAsia="zh-CN" w:bidi="zh-CN"/>
      </w:rPr>
    </w:lvl>
  </w:abstractNum>
  <w:abstractNum w:abstractNumId="27">
    <w:nsid w:val="00000024"/>
    <w:multiLevelType w:val="multilevel"/>
    <w:tmpl w:val="00000024"/>
    <w:lvl w:ilvl="0" w:tentative="0">
      <w:start w:val="1"/>
      <w:numFmt w:val="decimal"/>
      <w:lvlText w:val="%1."/>
      <w:lvlJc w:val="left"/>
      <w:pPr>
        <w:ind w:left="321"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59" w:hanging="213"/>
      </w:pPr>
      <w:rPr>
        <w:rFonts w:hint="default"/>
        <w:lang w:val="zh-CN" w:eastAsia="zh-CN" w:bidi="zh-CN"/>
      </w:rPr>
    </w:lvl>
    <w:lvl w:ilvl="2" w:tentative="0">
      <w:start w:val="0"/>
      <w:numFmt w:val="bullet"/>
      <w:lvlText w:val="•"/>
      <w:lvlJc w:val="left"/>
      <w:pPr>
        <w:ind w:left="2599" w:hanging="213"/>
      </w:pPr>
      <w:rPr>
        <w:rFonts w:hint="default"/>
        <w:lang w:val="zh-CN" w:eastAsia="zh-CN" w:bidi="zh-CN"/>
      </w:rPr>
    </w:lvl>
    <w:lvl w:ilvl="3" w:tentative="0">
      <w:start w:val="0"/>
      <w:numFmt w:val="bullet"/>
      <w:lvlText w:val="•"/>
      <w:lvlJc w:val="left"/>
      <w:pPr>
        <w:ind w:left="3739" w:hanging="213"/>
      </w:pPr>
      <w:rPr>
        <w:rFonts w:hint="default"/>
        <w:lang w:val="zh-CN" w:eastAsia="zh-CN" w:bidi="zh-CN"/>
      </w:rPr>
    </w:lvl>
    <w:lvl w:ilvl="4" w:tentative="0">
      <w:start w:val="0"/>
      <w:numFmt w:val="bullet"/>
      <w:lvlText w:val="•"/>
      <w:lvlJc w:val="left"/>
      <w:pPr>
        <w:ind w:left="4879" w:hanging="213"/>
      </w:pPr>
      <w:rPr>
        <w:rFonts w:hint="default"/>
        <w:lang w:val="zh-CN" w:eastAsia="zh-CN" w:bidi="zh-CN"/>
      </w:rPr>
    </w:lvl>
    <w:lvl w:ilvl="5" w:tentative="0">
      <w:start w:val="0"/>
      <w:numFmt w:val="bullet"/>
      <w:lvlText w:val="•"/>
      <w:lvlJc w:val="left"/>
      <w:pPr>
        <w:ind w:left="6019" w:hanging="213"/>
      </w:pPr>
      <w:rPr>
        <w:rFonts w:hint="default"/>
        <w:lang w:val="zh-CN" w:eastAsia="zh-CN" w:bidi="zh-CN"/>
      </w:rPr>
    </w:lvl>
    <w:lvl w:ilvl="6" w:tentative="0">
      <w:start w:val="0"/>
      <w:numFmt w:val="bullet"/>
      <w:lvlText w:val="•"/>
      <w:lvlJc w:val="left"/>
      <w:pPr>
        <w:ind w:left="7158" w:hanging="213"/>
      </w:pPr>
      <w:rPr>
        <w:rFonts w:hint="default"/>
        <w:lang w:val="zh-CN" w:eastAsia="zh-CN" w:bidi="zh-CN"/>
      </w:rPr>
    </w:lvl>
    <w:lvl w:ilvl="7" w:tentative="0">
      <w:start w:val="0"/>
      <w:numFmt w:val="bullet"/>
      <w:lvlText w:val="•"/>
      <w:lvlJc w:val="left"/>
      <w:pPr>
        <w:ind w:left="8298" w:hanging="213"/>
      </w:pPr>
      <w:rPr>
        <w:rFonts w:hint="default"/>
        <w:lang w:val="zh-CN" w:eastAsia="zh-CN" w:bidi="zh-CN"/>
      </w:rPr>
    </w:lvl>
    <w:lvl w:ilvl="8" w:tentative="0">
      <w:start w:val="0"/>
      <w:numFmt w:val="bullet"/>
      <w:lvlText w:val="•"/>
      <w:lvlJc w:val="left"/>
      <w:pPr>
        <w:ind w:left="9438" w:hanging="213"/>
      </w:pPr>
      <w:rPr>
        <w:rFonts w:hint="default"/>
        <w:lang w:val="zh-CN" w:eastAsia="zh-CN" w:bidi="zh-CN"/>
      </w:rPr>
    </w:lvl>
  </w:abstractNum>
  <w:abstractNum w:abstractNumId="28">
    <w:nsid w:val="00000025"/>
    <w:multiLevelType w:val="multilevel"/>
    <w:tmpl w:val="00000025"/>
    <w:lvl w:ilvl="0" w:tentative="0">
      <w:start w:val="1"/>
      <w:numFmt w:val="decimal"/>
      <w:lvlText w:val="%1."/>
      <w:lvlJc w:val="left"/>
      <w:pPr>
        <w:ind w:left="109" w:hanging="213"/>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1261" w:hanging="213"/>
      </w:pPr>
      <w:rPr>
        <w:rFonts w:hint="default"/>
        <w:lang w:val="zh-CN" w:eastAsia="zh-CN" w:bidi="zh-CN"/>
      </w:rPr>
    </w:lvl>
    <w:lvl w:ilvl="2" w:tentative="0">
      <w:start w:val="0"/>
      <w:numFmt w:val="bullet"/>
      <w:lvlText w:val="•"/>
      <w:lvlJc w:val="left"/>
      <w:pPr>
        <w:ind w:left="2423" w:hanging="213"/>
      </w:pPr>
      <w:rPr>
        <w:rFonts w:hint="default"/>
        <w:lang w:val="zh-CN" w:eastAsia="zh-CN" w:bidi="zh-CN"/>
      </w:rPr>
    </w:lvl>
    <w:lvl w:ilvl="3" w:tentative="0">
      <w:start w:val="0"/>
      <w:numFmt w:val="bullet"/>
      <w:lvlText w:val="•"/>
      <w:lvlJc w:val="left"/>
      <w:pPr>
        <w:ind w:left="3585" w:hanging="213"/>
      </w:pPr>
      <w:rPr>
        <w:rFonts w:hint="default"/>
        <w:lang w:val="zh-CN" w:eastAsia="zh-CN" w:bidi="zh-CN"/>
      </w:rPr>
    </w:lvl>
    <w:lvl w:ilvl="4" w:tentative="0">
      <w:start w:val="0"/>
      <w:numFmt w:val="bullet"/>
      <w:lvlText w:val="•"/>
      <w:lvlJc w:val="left"/>
      <w:pPr>
        <w:ind w:left="4747" w:hanging="213"/>
      </w:pPr>
      <w:rPr>
        <w:rFonts w:hint="default"/>
        <w:lang w:val="zh-CN" w:eastAsia="zh-CN" w:bidi="zh-CN"/>
      </w:rPr>
    </w:lvl>
    <w:lvl w:ilvl="5" w:tentative="0">
      <w:start w:val="0"/>
      <w:numFmt w:val="bullet"/>
      <w:lvlText w:val="•"/>
      <w:lvlJc w:val="left"/>
      <w:pPr>
        <w:ind w:left="5909" w:hanging="213"/>
      </w:pPr>
      <w:rPr>
        <w:rFonts w:hint="default"/>
        <w:lang w:val="zh-CN" w:eastAsia="zh-CN" w:bidi="zh-CN"/>
      </w:rPr>
    </w:lvl>
    <w:lvl w:ilvl="6" w:tentative="0">
      <w:start w:val="0"/>
      <w:numFmt w:val="bullet"/>
      <w:lvlText w:val="•"/>
      <w:lvlJc w:val="left"/>
      <w:pPr>
        <w:ind w:left="7070" w:hanging="213"/>
      </w:pPr>
      <w:rPr>
        <w:rFonts w:hint="default"/>
        <w:lang w:val="zh-CN" w:eastAsia="zh-CN" w:bidi="zh-CN"/>
      </w:rPr>
    </w:lvl>
    <w:lvl w:ilvl="7" w:tentative="0">
      <w:start w:val="0"/>
      <w:numFmt w:val="bullet"/>
      <w:lvlText w:val="•"/>
      <w:lvlJc w:val="left"/>
      <w:pPr>
        <w:ind w:left="8232" w:hanging="213"/>
      </w:pPr>
      <w:rPr>
        <w:rFonts w:hint="default"/>
        <w:lang w:val="zh-CN" w:eastAsia="zh-CN" w:bidi="zh-CN"/>
      </w:rPr>
    </w:lvl>
    <w:lvl w:ilvl="8" w:tentative="0">
      <w:start w:val="0"/>
      <w:numFmt w:val="bullet"/>
      <w:lvlText w:val="•"/>
      <w:lvlJc w:val="left"/>
      <w:pPr>
        <w:ind w:left="9394" w:hanging="213"/>
      </w:pPr>
      <w:rPr>
        <w:rFonts w:hint="default"/>
        <w:lang w:val="zh-CN" w:eastAsia="zh-CN" w:bidi="zh-CN"/>
      </w:rPr>
    </w:lvl>
  </w:abstractNum>
  <w:abstractNum w:abstractNumId="29">
    <w:nsid w:val="00000026"/>
    <w:multiLevelType w:val="multilevel"/>
    <w:tmpl w:val="00000026"/>
    <w:lvl w:ilvl="0" w:tentative="0">
      <w:start w:val="1"/>
      <w:numFmt w:val="decimal"/>
      <w:lvlText w:val="%1."/>
      <w:lvlJc w:val="left"/>
      <w:pPr>
        <w:ind w:left="109" w:hanging="213"/>
      </w:pPr>
      <w:rPr>
        <w:rFonts w:hint="default" w:ascii="仿宋" w:hAnsi="仿宋" w:eastAsia="仿宋" w:cs="仿宋"/>
        <w:spacing w:val="-10"/>
        <w:w w:val="100"/>
        <w:sz w:val="19"/>
        <w:szCs w:val="19"/>
        <w:lang w:val="zh-CN" w:eastAsia="zh-CN" w:bidi="zh-CN"/>
      </w:rPr>
    </w:lvl>
    <w:lvl w:ilvl="1" w:tentative="0">
      <w:start w:val="0"/>
      <w:numFmt w:val="bullet"/>
      <w:lvlText w:val="•"/>
      <w:lvlJc w:val="left"/>
      <w:pPr>
        <w:ind w:left="1261" w:hanging="213"/>
      </w:pPr>
      <w:rPr>
        <w:rFonts w:hint="default"/>
        <w:lang w:val="zh-CN" w:eastAsia="zh-CN" w:bidi="zh-CN"/>
      </w:rPr>
    </w:lvl>
    <w:lvl w:ilvl="2" w:tentative="0">
      <w:start w:val="0"/>
      <w:numFmt w:val="bullet"/>
      <w:lvlText w:val="•"/>
      <w:lvlJc w:val="left"/>
      <w:pPr>
        <w:ind w:left="2423" w:hanging="213"/>
      </w:pPr>
      <w:rPr>
        <w:rFonts w:hint="default"/>
        <w:lang w:val="zh-CN" w:eastAsia="zh-CN" w:bidi="zh-CN"/>
      </w:rPr>
    </w:lvl>
    <w:lvl w:ilvl="3" w:tentative="0">
      <w:start w:val="0"/>
      <w:numFmt w:val="bullet"/>
      <w:lvlText w:val="•"/>
      <w:lvlJc w:val="left"/>
      <w:pPr>
        <w:ind w:left="3585" w:hanging="213"/>
      </w:pPr>
      <w:rPr>
        <w:rFonts w:hint="default"/>
        <w:lang w:val="zh-CN" w:eastAsia="zh-CN" w:bidi="zh-CN"/>
      </w:rPr>
    </w:lvl>
    <w:lvl w:ilvl="4" w:tentative="0">
      <w:start w:val="0"/>
      <w:numFmt w:val="bullet"/>
      <w:lvlText w:val="•"/>
      <w:lvlJc w:val="left"/>
      <w:pPr>
        <w:ind w:left="4747" w:hanging="213"/>
      </w:pPr>
      <w:rPr>
        <w:rFonts w:hint="default"/>
        <w:lang w:val="zh-CN" w:eastAsia="zh-CN" w:bidi="zh-CN"/>
      </w:rPr>
    </w:lvl>
    <w:lvl w:ilvl="5" w:tentative="0">
      <w:start w:val="0"/>
      <w:numFmt w:val="bullet"/>
      <w:lvlText w:val="•"/>
      <w:lvlJc w:val="left"/>
      <w:pPr>
        <w:ind w:left="5909" w:hanging="213"/>
      </w:pPr>
      <w:rPr>
        <w:rFonts w:hint="default"/>
        <w:lang w:val="zh-CN" w:eastAsia="zh-CN" w:bidi="zh-CN"/>
      </w:rPr>
    </w:lvl>
    <w:lvl w:ilvl="6" w:tentative="0">
      <w:start w:val="0"/>
      <w:numFmt w:val="bullet"/>
      <w:lvlText w:val="•"/>
      <w:lvlJc w:val="left"/>
      <w:pPr>
        <w:ind w:left="7070" w:hanging="213"/>
      </w:pPr>
      <w:rPr>
        <w:rFonts w:hint="default"/>
        <w:lang w:val="zh-CN" w:eastAsia="zh-CN" w:bidi="zh-CN"/>
      </w:rPr>
    </w:lvl>
    <w:lvl w:ilvl="7" w:tentative="0">
      <w:start w:val="0"/>
      <w:numFmt w:val="bullet"/>
      <w:lvlText w:val="•"/>
      <w:lvlJc w:val="left"/>
      <w:pPr>
        <w:ind w:left="8232" w:hanging="213"/>
      </w:pPr>
      <w:rPr>
        <w:rFonts w:hint="default"/>
        <w:lang w:val="zh-CN" w:eastAsia="zh-CN" w:bidi="zh-CN"/>
      </w:rPr>
    </w:lvl>
    <w:lvl w:ilvl="8" w:tentative="0">
      <w:start w:val="0"/>
      <w:numFmt w:val="bullet"/>
      <w:lvlText w:val="•"/>
      <w:lvlJc w:val="left"/>
      <w:pPr>
        <w:ind w:left="9394" w:hanging="213"/>
      </w:pPr>
      <w:rPr>
        <w:rFonts w:hint="default"/>
        <w:lang w:val="zh-CN" w:eastAsia="zh-CN" w:bidi="zh-CN"/>
      </w:rPr>
    </w:lvl>
  </w:abstractNum>
  <w:abstractNum w:abstractNumId="30">
    <w:nsid w:val="00000027"/>
    <w:multiLevelType w:val="multilevel"/>
    <w:tmpl w:val="00000027"/>
    <w:lvl w:ilvl="0" w:tentative="0">
      <w:start w:val="1"/>
      <w:numFmt w:val="decimal"/>
      <w:lvlText w:val="%1."/>
      <w:lvlJc w:val="left"/>
      <w:pPr>
        <w:ind w:left="321"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59" w:hanging="213"/>
      </w:pPr>
      <w:rPr>
        <w:rFonts w:hint="default"/>
        <w:lang w:val="zh-CN" w:eastAsia="zh-CN" w:bidi="zh-CN"/>
      </w:rPr>
    </w:lvl>
    <w:lvl w:ilvl="2" w:tentative="0">
      <w:start w:val="0"/>
      <w:numFmt w:val="bullet"/>
      <w:lvlText w:val="•"/>
      <w:lvlJc w:val="left"/>
      <w:pPr>
        <w:ind w:left="2599" w:hanging="213"/>
      </w:pPr>
      <w:rPr>
        <w:rFonts w:hint="default"/>
        <w:lang w:val="zh-CN" w:eastAsia="zh-CN" w:bidi="zh-CN"/>
      </w:rPr>
    </w:lvl>
    <w:lvl w:ilvl="3" w:tentative="0">
      <w:start w:val="0"/>
      <w:numFmt w:val="bullet"/>
      <w:lvlText w:val="•"/>
      <w:lvlJc w:val="left"/>
      <w:pPr>
        <w:ind w:left="3739" w:hanging="213"/>
      </w:pPr>
      <w:rPr>
        <w:rFonts w:hint="default"/>
        <w:lang w:val="zh-CN" w:eastAsia="zh-CN" w:bidi="zh-CN"/>
      </w:rPr>
    </w:lvl>
    <w:lvl w:ilvl="4" w:tentative="0">
      <w:start w:val="0"/>
      <w:numFmt w:val="bullet"/>
      <w:lvlText w:val="•"/>
      <w:lvlJc w:val="left"/>
      <w:pPr>
        <w:ind w:left="4879" w:hanging="213"/>
      </w:pPr>
      <w:rPr>
        <w:rFonts w:hint="default"/>
        <w:lang w:val="zh-CN" w:eastAsia="zh-CN" w:bidi="zh-CN"/>
      </w:rPr>
    </w:lvl>
    <w:lvl w:ilvl="5" w:tentative="0">
      <w:start w:val="0"/>
      <w:numFmt w:val="bullet"/>
      <w:lvlText w:val="•"/>
      <w:lvlJc w:val="left"/>
      <w:pPr>
        <w:ind w:left="6019" w:hanging="213"/>
      </w:pPr>
      <w:rPr>
        <w:rFonts w:hint="default"/>
        <w:lang w:val="zh-CN" w:eastAsia="zh-CN" w:bidi="zh-CN"/>
      </w:rPr>
    </w:lvl>
    <w:lvl w:ilvl="6" w:tentative="0">
      <w:start w:val="0"/>
      <w:numFmt w:val="bullet"/>
      <w:lvlText w:val="•"/>
      <w:lvlJc w:val="left"/>
      <w:pPr>
        <w:ind w:left="7158" w:hanging="213"/>
      </w:pPr>
      <w:rPr>
        <w:rFonts w:hint="default"/>
        <w:lang w:val="zh-CN" w:eastAsia="zh-CN" w:bidi="zh-CN"/>
      </w:rPr>
    </w:lvl>
    <w:lvl w:ilvl="7" w:tentative="0">
      <w:start w:val="0"/>
      <w:numFmt w:val="bullet"/>
      <w:lvlText w:val="•"/>
      <w:lvlJc w:val="left"/>
      <w:pPr>
        <w:ind w:left="8298" w:hanging="213"/>
      </w:pPr>
      <w:rPr>
        <w:rFonts w:hint="default"/>
        <w:lang w:val="zh-CN" w:eastAsia="zh-CN" w:bidi="zh-CN"/>
      </w:rPr>
    </w:lvl>
    <w:lvl w:ilvl="8" w:tentative="0">
      <w:start w:val="0"/>
      <w:numFmt w:val="bullet"/>
      <w:lvlText w:val="•"/>
      <w:lvlJc w:val="left"/>
      <w:pPr>
        <w:ind w:left="9438" w:hanging="213"/>
      </w:pPr>
      <w:rPr>
        <w:rFonts w:hint="default"/>
        <w:lang w:val="zh-CN" w:eastAsia="zh-CN" w:bidi="zh-CN"/>
      </w:rPr>
    </w:lvl>
  </w:abstractNum>
  <w:abstractNum w:abstractNumId="31">
    <w:nsid w:val="00000028"/>
    <w:multiLevelType w:val="multilevel"/>
    <w:tmpl w:val="00000028"/>
    <w:lvl w:ilvl="0" w:tentative="0">
      <w:start w:val="3"/>
      <w:numFmt w:val="decimal"/>
      <w:lvlText w:val="%1."/>
      <w:lvlJc w:val="left"/>
      <w:pPr>
        <w:ind w:left="321" w:hanging="213"/>
      </w:pPr>
      <w:rPr>
        <w:rFonts w:hint="default" w:ascii="仿宋" w:hAnsi="仿宋" w:eastAsia="仿宋" w:cs="仿宋"/>
        <w:spacing w:val="-41"/>
        <w:w w:val="100"/>
        <w:sz w:val="19"/>
        <w:szCs w:val="19"/>
        <w:lang w:val="zh-CN" w:eastAsia="zh-CN" w:bidi="zh-CN"/>
      </w:rPr>
    </w:lvl>
    <w:lvl w:ilvl="1" w:tentative="0">
      <w:start w:val="0"/>
      <w:numFmt w:val="bullet"/>
      <w:lvlText w:val="•"/>
      <w:lvlJc w:val="left"/>
      <w:pPr>
        <w:ind w:left="1459" w:hanging="213"/>
      </w:pPr>
      <w:rPr>
        <w:rFonts w:hint="default"/>
        <w:lang w:val="zh-CN" w:eastAsia="zh-CN" w:bidi="zh-CN"/>
      </w:rPr>
    </w:lvl>
    <w:lvl w:ilvl="2" w:tentative="0">
      <w:start w:val="0"/>
      <w:numFmt w:val="bullet"/>
      <w:lvlText w:val="•"/>
      <w:lvlJc w:val="left"/>
      <w:pPr>
        <w:ind w:left="2599" w:hanging="213"/>
      </w:pPr>
      <w:rPr>
        <w:rFonts w:hint="default"/>
        <w:lang w:val="zh-CN" w:eastAsia="zh-CN" w:bidi="zh-CN"/>
      </w:rPr>
    </w:lvl>
    <w:lvl w:ilvl="3" w:tentative="0">
      <w:start w:val="0"/>
      <w:numFmt w:val="bullet"/>
      <w:lvlText w:val="•"/>
      <w:lvlJc w:val="left"/>
      <w:pPr>
        <w:ind w:left="3739" w:hanging="213"/>
      </w:pPr>
      <w:rPr>
        <w:rFonts w:hint="default"/>
        <w:lang w:val="zh-CN" w:eastAsia="zh-CN" w:bidi="zh-CN"/>
      </w:rPr>
    </w:lvl>
    <w:lvl w:ilvl="4" w:tentative="0">
      <w:start w:val="0"/>
      <w:numFmt w:val="bullet"/>
      <w:lvlText w:val="•"/>
      <w:lvlJc w:val="left"/>
      <w:pPr>
        <w:ind w:left="4879" w:hanging="213"/>
      </w:pPr>
      <w:rPr>
        <w:rFonts w:hint="default"/>
        <w:lang w:val="zh-CN" w:eastAsia="zh-CN" w:bidi="zh-CN"/>
      </w:rPr>
    </w:lvl>
    <w:lvl w:ilvl="5" w:tentative="0">
      <w:start w:val="0"/>
      <w:numFmt w:val="bullet"/>
      <w:lvlText w:val="•"/>
      <w:lvlJc w:val="left"/>
      <w:pPr>
        <w:ind w:left="6019" w:hanging="213"/>
      </w:pPr>
      <w:rPr>
        <w:rFonts w:hint="default"/>
        <w:lang w:val="zh-CN" w:eastAsia="zh-CN" w:bidi="zh-CN"/>
      </w:rPr>
    </w:lvl>
    <w:lvl w:ilvl="6" w:tentative="0">
      <w:start w:val="0"/>
      <w:numFmt w:val="bullet"/>
      <w:lvlText w:val="•"/>
      <w:lvlJc w:val="left"/>
      <w:pPr>
        <w:ind w:left="7158" w:hanging="213"/>
      </w:pPr>
      <w:rPr>
        <w:rFonts w:hint="default"/>
        <w:lang w:val="zh-CN" w:eastAsia="zh-CN" w:bidi="zh-CN"/>
      </w:rPr>
    </w:lvl>
    <w:lvl w:ilvl="7" w:tentative="0">
      <w:start w:val="0"/>
      <w:numFmt w:val="bullet"/>
      <w:lvlText w:val="•"/>
      <w:lvlJc w:val="left"/>
      <w:pPr>
        <w:ind w:left="8298" w:hanging="213"/>
      </w:pPr>
      <w:rPr>
        <w:rFonts w:hint="default"/>
        <w:lang w:val="zh-CN" w:eastAsia="zh-CN" w:bidi="zh-CN"/>
      </w:rPr>
    </w:lvl>
    <w:lvl w:ilvl="8" w:tentative="0">
      <w:start w:val="0"/>
      <w:numFmt w:val="bullet"/>
      <w:lvlText w:val="•"/>
      <w:lvlJc w:val="left"/>
      <w:pPr>
        <w:ind w:left="9438" w:hanging="213"/>
      </w:pPr>
      <w:rPr>
        <w:rFonts w:hint="default"/>
        <w:lang w:val="zh-CN" w:eastAsia="zh-CN" w:bidi="zh-CN"/>
      </w:rPr>
    </w:lvl>
  </w:abstractNum>
  <w:abstractNum w:abstractNumId="32">
    <w:nsid w:val="00000029"/>
    <w:multiLevelType w:val="multilevel"/>
    <w:tmpl w:val="00000029"/>
    <w:lvl w:ilvl="0" w:tentative="0">
      <w:start w:val="1"/>
      <w:numFmt w:val="decimal"/>
      <w:lvlText w:val="%1."/>
      <w:lvlJc w:val="left"/>
      <w:pPr>
        <w:ind w:left="321"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59" w:hanging="213"/>
      </w:pPr>
      <w:rPr>
        <w:rFonts w:hint="default"/>
        <w:lang w:val="zh-CN" w:eastAsia="zh-CN" w:bidi="zh-CN"/>
      </w:rPr>
    </w:lvl>
    <w:lvl w:ilvl="2" w:tentative="0">
      <w:start w:val="0"/>
      <w:numFmt w:val="bullet"/>
      <w:lvlText w:val="•"/>
      <w:lvlJc w:val="left"/>
      <w:pPr>
        <w:ind w:left="2599" w:hanging="213"/>
      </w:pPr>
      <w:rPr>
        <w:rFonts w:hint="default"/>
        <w:lang w:val="zh-CN" w:eastAsia="zh-CN" w:bidi="zh-CN"/>
      </w:rPr>
    </w:lvl>
    <w:lvl w:ilvl="3" w:tentative="0">
      <w:start w:val="0"/>
      <w:numFmt w:val="bullet"/>
      <w:lvlText w:val="•"/>
      <w:lvlJc w:val="left"/>
      <w:pPr>
        <w:ind w:left="3739" w:hanging="213"/>
      </w:pPr>
      <w:rPr>
        <w:rFonts w:hint="default"/>
        <w:lang w:val="zh-CN" w:eastAsia="zh-CN" w:bidi="zh-CN"/>
      </w:rPr>
    </w:lvl>
    <w:lvl w:ilvl="4" w:tentative="0">
      <w:start w:val="0"/>
      <w:numFmt w:val="bullet"/>
      <w:lvlText w:val="•"/>
      <w:lvlJc w:val="left"/>
      <w:pPr>
        <w:ind w:left="4879" w:hanging="213"/>
      </w:pPr>
      <w:rPr>
        <w:rFonts w:hint="default"/>
        <w:lang w:val="zh-CN" w:eastAsia="zh-CN" w:bidi="zh-CN"/>
      </w:rPr>
    </w:lvl>
    <w:lvl w:ilvl="5" w:tentative="0">
      <w:start w:val="0"/>
      <w:numFmt w:val="bullet"/>
      <w:lvlText w:val="•"/>
      <w:lvlJc w:val="left"/>
      <w:pPr>
        <w:ind w:left="6019" w:hanging="213"/>
      </w:pPr>
      <w:rPr>
        <w:rFonts w:hint="default"/>
        <w:lang w:val="zh-CN" w:eastAsia="zh-CN" w:bidi="zh-CN"/>
      </w:rPr>
    </w:lvl>
    <w:lvl w:ilvl="6" w:tentative="0">
      <w:start w:val="0"/>
      <w:numFmt w:val="bullet"/>
      <w:lvlText w:val="•"/>
      <w:lvlJc w:val="left"/>
      <w:pPr>
        <w:ind w:left="7158" w:hanging="213"/>
      </w:pPr>
      <w:rPr>
        <w:rFonts w:hint="default"/>
        <w:lang w:val="zh-CN" w:eastAsia="zh-CN" w:bidi="zh-CN"/>
      </w:rPr>
    </w:lvl>
    <w:lvl w:ilvl="7" w:tentative="0">
      <w:start w:val="0"/>
      <w:numFmt w:val="bullet"/>
      <w:lvlText w:val="•"/>
      <w:lvlJc w:val="left"/>
      <w:pPr>
        <w:ind w:left="8298" w:hanging="213"/>
      </w:pPr>
      <w:rPr>
        <w:rFonts w:hint="default"/>
        <w:lang w:val="zh-CN" w:eastAsia="zh-CN" w:bidi="zh-CN"/>
      </w:rPr>
    </w:lvl>
    <w:lvl w:ilvl="8" w:tentative="0">
      <w:start w:val="0"/>
      <w:numFmt w:val="bullet"/>
      <w:lvlText w:val="•"/>
      <w:lvlJc w:val="left"/>
      <w:pPr>
        <w:ind w:left="9438" w:hanging="213"/>
      </w:pPr>
      <w:rPr>
        <w:rFonts w:hint="default"/>
        <w:lang w:val="zh-CN" w:eastAsia="zh-CN" w:bidi="zh-CN"/>
      </w:rPr>
    </w:lvl>
  </w:abstractNum>
  <w:abstractNum w:abstractNumId="33">
    <w:nsid w:val="0000002A"/>
    <w:multiLevelType w:val="multilevel"/>
    <w:tmpl w:val="0000002A"/>
    <w:lvl w:ilvl="0" w:tentative="0">
      <w:start w:val="1"/>
      <w:numFmt w:val="decimal"/>
      <w:lvlText w:val="%1."/>
      <w:lvlJc w:val="left"/>
      <w:pPr>
        <w:ind w:left="321" w:hanging="213"/>
      </w:pPr>
      <w:rPr>
        <w:rFonts w:hint="default" w:ascii="仿宋" w:hAnsi="仿宋" w:eastAsia="仿宋" w:cs="仿宋"/>
        <w:spacing w:val="-3"/>
        <w:w w:val="100"/>
        <w:sz w:val="19"/>
        <w:szCs w:val="19"/>
        <w:lang w:val="zh-CN" w:eastAsia="zh-CN" w:bidi="zh-CN"/>
      </w:rPr>
    </w:lvl>
    <w:lvl w:ilvl="1" w:tentative="0">
      <w:start w:val="0"/>
      <w:numFmt w:val="bullet"/>
      <w:lvlText w:val="•"/>
      <w:lvlJc w:val="left"/>
      <w:pPr>
        <w:ind w:left="1459" w:hanging="213"/>
      </w:pPr>
      <w:rPr>
        <w:rFonts w:hint="default"/>
        <w:lang w:val="zh-CN" w:eastAsia="zh-CN" w:bidi="zh-CN"/>
      </w:rPr>
    </w:lvl>
    <w:lvl w:ilvl="2" w:tentative="0">
      <w:start w:val="0"/>
      <w:numFmt w:val="bullet"/>
      <w:lvlText w:val="•"/>
      <w:lvlJc w:val="left"/>
      <w:pPr>
        <w:ind w:left="2599" w:hanging="213"/>
      </w:pPr>
      <w:rPr>
        <w:rFonts w:hint="default"/>
        <w:lang w:val="zh-CN" w:eastAsia="zh-CN" w:bidi="zh-CN"/>
      </w:rPr>
    </w:lvl>
    <w:lvl w:ilvl="3" w:tentative="0">
      <w:start w:val="0"/>
      <w:numFmt w:val="bullet"/>
      <w:lvlText w:val="•"/>
      <w:lvlJc w:val="left"/>
      <w:pPr>
        <w:ind w:left="3739" w:hanging="213"/>
      </w:pPr>
      <w:rPr>
        <w:rFonts w:hint="default"/>
        <w:lang w:val="zh-CN" w:eastAsia="zh-CN" w:bidi="zh-CN"/>
      </w:rPr>
    </w:lvl>
    <w:lvl w:ilvl="4" w:tentative="0">
      <w:start w:val="0"/>
      <w:numFmt w:val="bullet"/>
      <w:lvlText w:val="•"/>
      <w:lvlJc w:val="left"/>
      <w:pPr>
        <w:ind w:left="4879" w:hanging="213"/>
      </w:pPr>
      <w:rPr>
        <w:rFonts w:hint="default"/>
        <w:lang w:val="zh-CN" w:eastAsia="zh-CN" w:bidi="zh-CN"/>
      </w:rPr>
    </w:lvl>
    <w:lvl w:ilvl="5" w:tentative="0">
      <w:start w:val="0"/>
      <w:numFmt w:val="bullet"/>
      <w:lvlText w:val="•"/>
      <w:lvlJc w:val="left"/>
      <w:pPr>
        <w:ind w:left="6019" w:hanging="213"/>
      </w:pPr>
      <w:rPr>
        <w:rFonts w:hint="default"/>
        <w:lang w:val="zh-CN" w:eastAsia="zh-CN" w:bidi="zh-CN"/>
      </w:rPr>
    </w:lvl>
    <w:lvl w:ilvl="6" w:tentative="0">
      <w:start w:val="0"/>
      <w:numFmt w:val="bullet"/>
      <w:lvlText w:val="•"/>
      <w:lvlJc w:val="left"/>
      <w:pPr>
        <w:ind w:left="7158" w:hanging="213"/>
      </w:pPr>
      <w:rPr>
        <w:rFonts w:hint="default"/>
        <w:lang w:val="zh-CN" w:eastAsia="zh-CN" w:bidi="zh-CN"/>
      </w:rPr>
    </w:lvl>
    <w:lvl w:ilvl="7" w:tentative="0">
      <w:start w:val="0"/>
      <w:numFmt w:val="bullet"/>
      <w:lvlText w:val="•"/>
      <w:lvlJc w:val="left"/>
      <w:pPr>
        <w:ind w:left="8298" w:hanging="213"/>
      </w:pPr>
      <w:rPr>
        <w:rFonts w:hint="default"/>
        <w:lang w:val="zh-CN" w:eastAsia="zh-CN" w:bidi="zh-CN"/>
      </w:rPr>
    </w:lvl>
    <w:lvl w:ilvl="8" w:tentative="0">
      <w:start w:val="0"/>
      <w:numFmt w:val="bullet"/>
      <w:lvlText w:val="•"/>
      <w:lvlJc w:val="left"/>
      <w:pPr>
        <w:ind w:left="9438" w:hanging="213"/>
      </w:pPr>
      <w:rPr>
        <w:rFonts w:hint="default"/>
        <w:lang w:val="zh-CN" w:eastAsia="zh-CN" w:bidi="zh-CN"/>
      </w:rPr>
    </w:lvl>
  </w:abstractNum>
  <w:abstractNum w:abstractNumId="34">
    <w:nsid w:val="0000002B"/>
    <w:multiLevelType w:val="multilevel"/>
    <w:tmpl w:val="0000002B"/>
    <w:lvl w:ilvl="0" w:tentative="0">
      <w:start w:val="2"/>
      <w:numFmt w:val="decimal"/>
      <w:lvlText w:val="%1."/>
      <w:lvlJc w:val="left"/>
      <w:pPr>
        <w:ind w:left="109" w:hanging="213"/>
      </w:pPr>
      <w:rPr>
        <w:rFonts w:hint="default" w:ascii="仿宋" w:hAnsi="仿宋" w:eastAsia="仿宋" w:cs="仿宋"/>
        <w:spacing w:val="-25"/>
        <w:w w:val="100"/>
        <w:sz w:val="19"/>
        <w:szCs w:val="19"/>
        <w:lang w:val="zh-CN" w:eastAsia="zh-CN" w:bidi="zh-CN"/>
      </w:rPr>
    </w:lvl>
    <w:lvl w:ilvl="1" w:tentative="0">
      <w:start w:val="0"/>
      <w:numFmt w:val="bullet"/>
      <w:lvlText w:val="•"/>
      <w:lvlJc w:val="left"/>
      <w:pPr>
        <w:ind w:left="1261" w:hanging="213"/>
      </w:pPr>
      <w:rPr>
        <w:rFonts w:hint="default"/>
        <w:lang w:val="zh-CN" w:eastAsia="zh-CN" w:bidi="zh-CN"/>
      </w:rPr>
    </w:lvl>
    <w:lvl w:ilvl="2" w:tentative="0">
      <w:start w:val="0"/>
      <w:numFmt w:val="bullet"/>
      <w:lvlText w:val="•"/>
      <w:lvlJc w:val="left"/>
      <w:pPr>
        <w:ind w:left="2423" w:hanging="213"/>
      </w:pPr>
      <w:rPr>
        <w:rFonts w:hint="default"/>
        <w:lang w:val="zh-CN" w:eastAsia="zh-CN" w:bidi="zh-CN"/>
      </w:rPr>
    </w:lvl>
    <w:lvl w:ilvl="3" w:tentative="0">
      <w:start w:val="0"/>
      <w:numFmt w:val="bullet"/>
      <w:lvlText w:val="•"/>
      <w:lvlJc w:val="left"/>
      <w:pPr>
        <w:ind w:left="3585" w:hanging="213"/>
      </w:pPr>
      <w:rPr>
        <w:rFonts w:hint="default"/>
        <w:lang w:val="zh-CN" w:eastAsia="zh-CN" w:bidi="zh-CN"/>
      </w:rPr>
    </w:lvl>
    <w:lvl w:ilvl="4" w:tentative="0">
      <w:start w:val="0"/>
      <w:numFmt w:val="bullet"/>
      <w:lvlText w:val="•"/>
      <w:lvlJc w:val="left"/>
      <w:pPr>
        <w:ind w:left="4747" w:hanging="213"/>
      </w:pPr>
      <w:rPr>
        <w:rFonts w:hint="default"/>
        <w:lang w:val="zh-CN" w:eastAsia="zh-CN" w:bidi="zh-CN"/>
      </w:rPr>
    </w:lvl>
    <w:lvl w:ilvl="5" w:tentative="0">
      <w:start w:val="0"/>
      <w:numFmt w:val="bullet"/>
      <w:lvlText w:val="•"/>
      <w:lvlJc w:val="left"/>
      <w:pPr>
        <w:ind w:left="5909" w:hanging="213"/>
      </w:pPr>
      <w:rPr>
        <w:rFonts w:hint="default"/>
        <w:lang w:val="zh-CN" w:eastAsia="zh-CN" w:bidi="zh-CN"/>
      </w:rPr>
    </w:lvl>
    <w:lvl w:ilvl="6" w:tentative="0">
      <w:start w:val="0"/>
      <w:numFmt w:val="bullet"/>
      <w:lvlText w:val="•"/>
      <w:lvlJc w:val="left"/>
      <w:pPr>
        <w:ind w:left="7070" w:hanging="213"/>
      </w:pPr>
      <w:rPr>
        <w:rFonts w:hint="default"/>
        <w:lang w:val="zh-CN" w:eastAsia="zh-CN" w:bidi="zh-CN"/>
      </w:rPr>
    </w:lvl>
    <w:lvl w:ilvl="7" w:tentative="0">
      <w:start w:val="0"/>
      <w:numFmt w:val="bullet"/>
      <w:lvlText w:val="•"/>
      <w:lvlJc w:val="left"/>
      <w:pPr>
        <w:ind w:left="8232" w:hanging="213"/>
      </w:pPr>
      <w:rPr>
        <w:rFonts w:hint="default"/>
        <w:lang w:val="zh-CN" w:eastAsia="zh-CN" w:bidi="zh-CN"/>
      </w:rPr>
    </w:lvl>
    <w:lvl w:ilvl="8" w:tentative="0">
      <w:start w:val="0"/>
      <w:numFmt w:val="bullet"/>
      <w:lvlText w:val="•"/>
      <w:lvlJc w:val="left"/>
      <w:pPr>
        <w:ind w:left="9394" w:hanging="213"/>
      </w:pPr>
      <w:rPr>
        <w:rFonts w:hint="default"/>
        <w:lang w:val="zh-CN" w:eastAsia="zh-CN" w:bidi="zh-CN"/>
      </w:rPr>
    </w:lvl>
  </w:abstractNum>
  <w:abstractNum w:abstractNumId="35">
    <w:nsid w:val="0000002C"/>
    <w:multiLevelType w:val="multilevel"/>
    <w:tmpl w:val="0000002C"/>
    <w:lvl w:ilvl="0" w:tentative="0">
      <w:start w:val="1"/>
      <w:numFmt w:val="decimal"/>
      <w:lvlText w:val="（%1）"/>
      <w:lvlJc w:val="left"/>
      <w:pPr>
        <w:ind w:left="609" w:hanging="501"/>
      </w:pPr>
      <w:rPr>
        <w:rFonts w:hint="default" w:ascii="仿宋" w:hAnsi="仿宋" w:eastAsia="仿宋" w:cs="仿宋"/>
        <w:spacing w:val="-20"/>
        <w:w w:val="100"/>
        <w:sz w:val="19"/>
        <w:szCs w:val="19"/>
        <w:lang w:val="zh-CN" w:eastAsia="zh-CN" w:bidi="zh-CN"/>
      </w:rPr>
    </w:lvl>
    <w:lvl w:ilvl="1" w:tentative="0">
      <w:start w:val="0"/>
      <w:numFmt w:val="bullet"/>
      <w:lvlText w:val="•"/>
      <w:lvlJc w:val="left"/>
      <w:pPr>
        <w:ind w:left="1711" w:hanging="501"/>
      </w:pPr>
      <w:rPr>
        <w:rFonts w:hint="default"/>
        <w:lang w:val="zh-CN" w:eastAsia="zh-CN" w:bidi="zh-CN"/>
      </w:rPr>
    </w:lvl>
    <w:lvl w:ilvl="2" w:tentative="0">
      <w:start w:val="0"/>
      <w:numFmt w:val="bullet"/>
      <w:lvlText w:val="•"/>
      <w:lvlJc w:val="left"/>
      <w:pPr>
        <w:ind w:left="2823" w:hanging="501"/>
      </w:pPr>
      <w:rPr>
        <w:rFonts w:hint="default"/>
        <w:lang w:val="zh-CN" w:eastAsia="zh-CN" w:bidi="zh-CN"/>
      </w:rPr>
    </w:lvl>
    <w:lvl w:ilvl="3" w:tentative="0">
      <w:start w:val="0"/>
      <w:numFmt w:val="bullet"/>
      <w:lvlText w:val="•"/>
      <w:lvlJc w:val="left"/>
      <w:pPr>
        <w:ind w:left="3935" w:hanging="501"/>
      </w:pPr>
      <w:rPr>
        <w:rFonts w:hint="default"/>
        <w:lang w:val="zh-CN" w:eastAsia="zh-CN" w:bidi="zh-CN"/>
      </w:rPr>
    </w:lvl>
    <w:lvl w:ilvl="4" w:tentative="0">
      <w:start w:val="0"/>
      <w:numFmt w:val="bullet"/>
      <w:lvlText w:val="•"/>
      <w:lvlJc w:val="left"/>
      <w:pPr>
        <w:ind w:left="5047" w:hanging="501"/>
      </w:pPr>
      <w:rPr>
        <w:rFonts w:hint="default"/>
        <w:lang w:val="zh-CN" w:eastAsia="zh-CN" w:bidi="zh-CN"/>
      </w:rPr>
    </w:lvl>
    <w:lvl w:ilvl="5" w:tentative="0">
      <w:start w:val="0"/>
      <w:numFmt w:val="bullet"/>
      <w:lvlText w:val="•"/>
      <w:lvlJc w:val="left"/>
      <w:pPr>
        <w:ind w:left="6159" w:hanging="501"/>
      </w:pPr>
      <w:rPr>
        <w:rFonts w:hint="default"/>
        <w:lang w:val="zh-CN" w:eastAsia="zh-CN" w:bidi="zh-CN"/>
      </w:rPr>
    </w:lvl>
    <w:lvl w:ilvl="6" w:tentative="0">
      <w:start w:val="0"/>
      <w:numFmt w:val="bullet"/>
      <w:lvlText w:val="•"/>
      <w:lvlJc w:val="left"/>
      <w:pPr>
        <w:ind w:left="7270" w:hanging="501"/>
      </w:pPr>
      <w:rPr>
        <w:rFonts w:hint="default"/>
        <w:lang w:val="zh-CN" w:eastAsia="zh-CN" w:bidi="zh-CN"/>
      </w:rPr>
    </w:lvl>
    <w:lvl w:ilvl="7" w:tentative="0">
      <w:start w:val="0"/>
      <w:numFmt w:val="bullet"/>
      <w:lvlText w:val="•"/>
      <w:lvlJc w:val="left"/>
      <w:pPr>
        <w:ind w:left="8382" w:hanging="501"/>
      </w:pPr>
      <w:rPr>
        <w:rFonts w:hint="default"/>
        <w:lang w:val="zh-CN" w:eastAsia="zh-CN" w:bidi="zh-CN"/>
      </w:rPr>
    </w:lvl>
    <w:lvl w:ilvl="8" w:tentative="0">
      <w:start w:val="0"/>
      <w:numFmt w:val="bullet"/>
      <w:lvlText w:val="•"/>
      <w:lvlJc w:val="left"/>
      <w:pPr>
        <w:ind w:left="9494" w:hanging="501"/>
      </w:pPr>
      <w:rPr>
        <w:rFonts w:hint="default"/>
        <w:lang w:val="zh-CN" w:eastAsia="zh-CN" w:bidi="zh-CN"/>
      </w:rPr>
    </w:lvl>
  </w:abstractNum>
  <w:abstractNum w:abstractNumId="36">
    <w:nsid w:val="0000002D"/>
    <w:multiLevelType w:val="multilevel"/>
    <w:tmpl w:val="0000002D"/>
    <w:lvl w:ilvl="0" w:tentative="0">
      <w:start w:val="1"/>
      <w:numFmt w:val="decimal"/>
      <w:lvlText w:val="（%1）"/>
      <w:lvlJc w:val="left"/>
      <w:pPr>
        <w:ind w:left="609" w:hanging="501"/>
      </w:pPr>
      <w:rPr>
        <w:rFonts w:hint="default" w:ascii="仿宋" w:hAnsi="仿宋" w:eastAsia="仿宋" w:cs="仿宋"/>
        <w:spacing w:val="-20"/>
        <w:w w:val="100"/>
        <w:sz w:val="19"/>
        <w:szCs w:val="19"/>
        <w:lang w:val="zh-CN" w:eastAsia="zh-CN" w:bidi="zh-CN"/>
      </w:rPr>
    </w:lvl>
    <w:lvl w:ilvl="1" w:tentative="0">
      <w:start w:val="0"/>
      <w:numFmt w:val="bullet"/>
      <w:lvlText w:val="•"/>
      <w:lvlJc w:val="left"/>
      <w:pPr>
        <w:ind w:left="1711" w:hanging="501"/>
      </w:pPr>
      <w:rPr>
        <w:rFonts w:hint="default"/>
        <w:lang w:val="zh-CN" w:eastAsia="zh-CN" w:bidi="zh-CN"/>
      </w:rPr>
    </w:lvl>
    <w:lvl w:ilvl="2" w:tentative="0">
      <w:start w:val="0"/>
      <w:numFmt w:val="bullet"/>
      <w:lvlText w:val="•"/>
      <w:lvlJc w:val="left"/>
      <w:pPr>
        <w:ind w:left="2823" w:hanging="501"/>
      </w:pPr>
      <w:rPr>
        <w:rFonts w:hint="default"/>
        <w:lang w:val="zh-CN" w:eastAsia="zh-CN" w:bidi="zh-CN"/>
      </w:rPr>
    </w:lvl>
    <w:lvl w:ilvl="3" w:tentative="0">
      <w:start w:val="0"/>
      <w:numFmt w:val="bullet"/>
      <w:lvlText w:val="•"/>
      <w:lvlJc w:val="left"/>
      <w:pPr>
        <w:ind w:left="3935" w:hanging="501"/>
      </w:pPr>
      <w:rPr>
        <w:rFonts w:hint="default"/>
        <w:lang w:val="zh-CN" w:eastAsia="zh-CN" w:bidi="zh-CN"/>
      </w:rPr>
    </w:lvl>
    <w:lvl w:ilvl="4" w:tentative="0">
      <w:start w:val="0"/>
      <w:numFmt w:val="bullet"/>
      <w:lvlText w:val="•"/>
      <w:lvlJc w:val="left"/>
      <w:pPr>
        <w:ind w:left="5047" w:hanging="501"/>
      </w:pPr>
      <w:rPr>
        <w:rFonts w:hint="default"/>
        <w:lang w:val="zh-CN" w:eastAsia="zh-CN" w:bidi="zh-CN"/>
      </w:rPr>
    </w:lvl>
    <w:lvl w:ilvl="5" w:tentative="0">
      <w:start w:val="0"/>
      <w:numFmt w:val="bullet"/>
      <w:lvlText w:val="•"/>
      <w:lvlJc w:val="left"/>
      <w:pPr>
        <w:ind w:left="6159" w:hanging="501"/>
      </w:pPr>
      <w:rPr>
        <w:rFonts w:hint="default"/>
        <w:lang w:val="zh-CN" w:eastAsia="zh-CN" w:bidi="zh-CN"/>
      </w:rPr>
    </w:lvl>
    <w:lvl w:ilvl="6" w:tentative="0">
      <w:start w:val="0"/>
      <w:numFmt w:val="bullet"/>
      <w:lvlText w:val="•"/>
      <w:lvlJc w:val="left"/>
      <w:pPr>
        <w:ind w:left="7270" w:hanging="501"/>
      </w:pPr>
      <w:rPr>
        <w:rFonts w:hint="default"/>
        <w:lang w:val="zh-CN" w:eastAsia="zh-CN" w:bidi="zh-CN"/>
      </w:rPr>
    </w:lvl>
    <w:lvl w:ilvl="7" w:tentative="0">
      <w:start w:val="0"/>
      <w:numFmt w:val="bullet"/>
      <w:lvlText w:val="•"/>
      <w:lvlJc w:val="left"/>
      <w:pPr>
        <w:ind w:left="8382" w:hanging="501"/>
      </w:pPr>
      <w:rPr>
        <w:rFonts w:hint="default"/>
        <w:lang w:val="zh-CN" w:eastAsia="zh-CN" w:bidi="zh-CN"/>
      </w:rPr>
    </w:lvl>
    <w:lvl w:ilvl="8" w:tentative="0">
      <w:start w:val="0"/>
      <w:numFmt w:val="bullet"/>
      <w:lvlText w:val="•"/>
      <w:lvlJc w:val="left"/>
      <w:pPr>
        <w:ind w:left="9494" w:hanging="501"/>
      </w:pPr>
      <w:rPr>
        <w:rFonts w:hint="default"/>
        <w:lang w:val="zh-CN" w:eastAsia="zh-CN" w:bidi="zh-CN"/>
      </w:rPr>
    </w:lvl>
  </w:abstractNum>
  <w:abstractNum w:abstractNumId="37">
    <w:nsid w:val="0000002E"/>
    <w:multiLevelType w:val="multilevel"/>
    <w:tmpl w:val="0000002E"/>
    <w:lvl w:ilvl="0" w:tentative="0">
      <w:start w:val="1"/>
      <w:numFmt w:val="decimal"/>
      <w:lvlText w:val="（%1）"/>
      <w:lvlJc w:val="left"/>
      <w:pPr>
        <w:ind w:left="609" w:hanging="501"/>
      </w:pPr>
      <w:rPr>
        <w:rFonts w:hint="default" w:ascii="仿宋" w:hAnsi="仿宋" w:eastAsia="仿宋" w:cs="仿宋"/>
        <w:spacing w:val="-20"/>
        <w:w w:val="100"/>
        <w:sz w:val="19"/>
        <w:szCs w:val="19"/>
        <w:lang w:val="zh-CN" w:eastAsia="zh-CN" w:bidi="zh-CN"/>
      </w:rPr>
    </w:lvl>
    <w:lvl w:ilvl="1" w:tentative="0">
      <w:start w:val="0"/>
      <w:numFmt w:val="bullet"/>
      <w:lvlText w:val="•"/>
      <w:lvlJc w:val="left"/>
      <w:pPr>
        <w:ind w:left="1711" w:hanging="501"/>
      </w:pPr>
      <w:rPr>
        <w:rFonts w:hint="default"/>
        <w:lang w:val="zh-CN" w:eastAsia="zh-CN" w:bidi="zh-CN"/>
      </w:rPr>
    </w:lvl>
    <w:lvl w:ilvl="2" w:tentative="0">
      <w:start w:val="0"/>
      <w:numFmt w:val="bullet"/>
      <w:lvlText w:val="•"/>
      <w:lvlJc w:val="left"/>
      <w:pPr>
        <w:ind w:left="2823" w:hanging="501"/>
      </w:pPr>
      <w:rPr>
        <w:rFonts w:hint="default"/>
        <w:lang w:val="zh-CN" w:eastAsia="zh-CN" w:bidi="zh-CN"/>
      </w:rPr>
    </w:lvl>
    <w:lvl w:ilvl="3" w:tentative="0">
      <w:start w:val="0"/>
      <w:numFmt w:val="bullet"/>
      <w:lvlText w:val="•"/>
      <w:lvlJc w:val="left"/>
      <w:pPr>
        <w:ind w:left="3935" w:hanging="501"/>
      </w:pPr>
      <w:rPr>
        <w:rFonts w:hint="default"/>
        <w:lang w:val="zh-CN" w:eastAsia="zh-CN" w:bidi="zh-CN"/>
      </w:rPr>
    </w:lvl>
    <w:lvl w:ilvl="4" w:tentative="0">
      <w:start w:val="0"/>
      <w:numFmt w:val="bullet"/>
      <w:lvlText w:val="•"/>
      <w:lvlJc w:val="left"/>
      <w:pPr>
        <w:ind w:left="5047" w:hanging="501"/>
      </w:pPr>
      <w:rPr>
        <w:rFonts w:hint="default"/>
        <w:lang w:val="zh-CN" w:eastAsia="zh-CN" w:bidi="zh-CN"/>
      </w:rPr>
    </w:lvl>
    <w:lvl w:ilvl="5" w:tentative="0">
      <w:start w:val="0"/>
      <w:numFmt w:val="bullet"/>
      <w:lvlText w:val="•"/>
      <w:lvlJc w:val="left"/>
      <w:pPr>
        <w:ind w:left="6159" w:hanging="501"/>
      </w:pPr>
      <w:rPr>
        <w:rFonts w:hint="default"/>
        <w:lang w:val="zh-CN" w:eastAsia="zh-CN" w:bidi="zh-CN"/>
      </w:rPr>
    </w:lvl>
    <w:lvl w:ilvl="6" w:tentative="0">
      <w:start w:val="0"/>
      <w:numFmt w:val="bullet"/>
      <w:lvlText w:val="•"/>
      <w:lvlJc w:val="left"/>
      <w:pPr>
        <w:ind w:left="7270" w:hanging="501"/>
      </w:pPr>
      <w:rPr>
        <w:rFonts w:hint="default"/>
        <w:lang w:val="zh-CN" w:eastAsia="zh-CN" w:bidi="zh-CN"/>
      </w:rPr>
    </w:lvl>
    <w:lvl w:ilvl="7" w:tentative="0">
      <w:start w:val="0"/>
      <w:numFmt w:val="bullet"/>
      <w:lvlText w:val="•"/>
      <w:lvlJc w:val="left"/>
      <w:pPr>
        <w:ind w:left="8382" w:hanging="501"/>
      </w:pPr>
      <w:rPr>
        <w:rFonts w:hint="default"/>
        <w:lang w:val="zh-CN" w:eastAsia="zh-CN" w:bidi="zh-CN"/>
      </w:rPr>
    </w:lvl>
    <w:lvl w:ilvl="8" w:tentative="0">
      <w:start w:val="0"/>
      <w:numFmt w:val="bullet"/>
      <w:lvlText w:val="•"/>
      <w:lvlJc w:val="left"/>
      <w:pPr>
        <w:ind w:left="9494" w:hanging="501"/>
      </w:pPr>
      <w:rPr>
        <w:rFonts w:hint="default"/>
        <w:lang w:val="zh-CN" w:eastAsia="zh-CN" w:bidi="zh-CN"/>
      </w:rPr>
    </w:lvl>
  </w:abstractNum>
  <w:abstractNum w:abstractNumId="38">
    <w:nsid w:val="0000002F"/>
    <w:multiLevelType w:val="multilevel"/>
    <w:tmpl w:val="0000002F"/>
    <w:lvl w:ilvl="0" w:tentative="0">
      <w:start w:val="1"/>
      <w:numFmt w:val="decimal"/>
      <w:lvlText w:val="%1."/>
      <w:lvlJc w:val="left"/>
      <w:pPr>
        <w:ind w:left="103"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700" w:hanging="160"/>
      </w:pPr>
      <w:rPr>
        <w:rFonts w:hint="default"/>
        <w:lang w:val="zh-CN" w:eastAsia="zh-CN" w:bidi="zh-CN"/>
      </w:rPr>
    </w:lvl>
    <w:lvl w:ilvl="2" w:tentative="0">
      <w:start w:val="0"/>
      <w:numFmt w:val="bullet"/>
      <w:lvlText w:val="•"/>
      <w:lvlJc w:val="left"/>
      <w:pPr>
        <w:ind w:left="3300" w:hanging="160"/>
      </w:pPr>
      <w:rPr>
        <w:rFonts w:hint="default"/>
        <w:lang w:val="zh-CN" w:eastAsia="zh-CN" w:bidi="zh-CN"/>
      </w:rPr>
    </w:lvl>
    <w:lvl w:ilvl="3" w:tentative="0">
      <w:start w:val="0"/>
      <w:numFmt w:val="bullet"/>
      <w:lvlText w:val="•"/>
      <w:lvlJc w:val="left"/>
      <w:pPr>
        <w:ind w:left="4900" w:hanging="160"/>
      </w:pPr>
      <w:rPr>
        <w:rFonts w:hint="default"/>
        <w:lang w:val="zh-CN" w:eastAsia="zh-CN" w:bidi="zh-CN"/>
      </w:rPr>
    </w:lvl>
    <w:lvl w:ilvl="4" w:tentative="0">
      <w:start w:val="0"/>
      <w:numFmt w:val="bullet"/>
      <w:lvlText w:val="•"/>
      <w:lvlJc w:val="left"/>
      <w:pPr>
        <w:ind w:left="6501" w:hanging="160"/>
      </w:pPr>
      <w:rPr>
        <w:rFonts w:hint="default"/>
        <w:lang w:val="zh-CN" w:eastAsia="zh-CN" w:bidi="zh-CN"/>
      </w:rPr>
    </w:lvl>
    <w:lvl w:ilvl="5" w:tentative="0">
      <w:start w:val="0"/>
      <w:numFmt w:val="bullet"/>
      <w:lvlText w:val="•"/>
      <w:lvlJc w:val="left"/>
      <w:pPr>
        <w:ind w:left="8101" w:hanging="160"/>
      </w:pPr>
      <w:rPr>
        <w:rFonts w:hint="default"/>
        <w:lang w:val="zh-CN" w:eastAsia="zh-CN" w:bidi="zh-CN"/>
      </w:rPr>
    </w:lvl>
    <w:lvl w:ilvl="6" w:tentative="0">
      <w:start w:val="0"/>
      <w:numFmt w:val="bullet"/>
      <w:lvlText w:val="•"/>
      <w:lvlJc w:val="left"/>
      <w:pPr>
        <w:ind w:left="9701" w:hanging="160"/>
      </w:pPr>
      <w:rPr>
        <w:rFonts w:hint="default"/>
        <w:lang w:val="zh-CN" w:eastAsia="zh-CN" w:bidi="zh-CN"/>
      </w:rPr>
    </w:lvl>
    <w:lvl w:ilvl="7" w:tentative="0">
      <w:start w:val="0"/>
      <w:numFmt w:val="bullet"/>
      <w:lvlText w:val="•"/>
      <w:lvlJc w:val="left"/>
      <w:pPr>
        <w:ind w:left="11301" w:hanging="160"/>
      </w:pPr>
      <w:rPr>
        <w:rFonts w:hint="default"/>
        <w:lang w:val="zh-CN" w:eastAsia="zh-CN" w:bidi="zh-CN"/>
      </w:rPr>
    </w:lvl>
    <w:lvl w:ilvl="8" w:tentative="0">
      <w:start w:val="0"/>
      <w:numFmt w:val="bullet"/>
      <w:lvlText w:val="•"/>
      <w:lvlJc w:val="left"/>
      <w:pPr>
        <w:ind w:left="12902" w:hanging="160"/>
      </w:pPr>
      <w:rPr>
        <w:rFonts w:hint="default"/>
        <w:lang w:val="zh-CN" w:eastAsia="zh-CN" w:bidi="zh-CN"/>
      </w:rPr>
    </w:lvl>
  </w:abstractNum>
  <w:abstractNum w:abstractNumId="39">
    <w:nsid w:val="00000030"/>
    <w:multiLevelType w:val="multilevel"/>
    <w:tmpl w:val="00000030"/>
    <w:lvl w:ilvl="0" w:tentative="0">
      <w:start w:val="1"/>
      <w:numFmt w:val="decimal"/>
      <w:lvlText w:val="%1."/>
      <w:lvlJc w:val="left"/>
      <w:pPr>
        <w:ind w:left="103" w:hanging="160"/>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700" w:hanging="160"/>
      </w:pPr>
      <w:rPr>
        <w:rFonts w:hint="default"/>
        <w:lang w:val="zh-CN" w:eastAsia="zh-CN" w:bidi="zh-CN"/>
      </w:rPr>
    </w:lvl>
    <w:lvl w:ilvl="2" w:tentative="0">
      <w:start w:val="0"/>
      <w:numFmt w:val="bullet"/>
      <w:lvlText w:val="•"/>
      <w:lvlJc w:val="left"/>
      <w:pPr>
        <w:ind w:left="3300" w:hanging="160"/>
      </w:pPr>
      <w:rPr>
        <w:rFonts w:hint="default"/>
        <w:lang w:val="zh-CN" w:eastAsia="zh-CN" w:bidi="zh-CN"/>
      </w:rPr>
    </w:lvl>
    <w:lvl w:ilvl="3" w:tentative="0">
      <w:start w:val="0"/>
      <w:numFmt w:val="bullet"/>
      <w:lvlText w:val="•"/>
      <w:lvlJc w:val="left"/>
      <w:pPr>
        <w:ind w:left="4900" w:hanging="160"/>
      </w:pPr>
      <w:rPr>
        <w:rFonts w:hint="default"/>
        <w:lang w:val="zh-CN" w:eastAsia="zh-CN" w:bidi="zh-CN"/>
      </w:rPr>
    </w:lvl>
    <w:lvl w:ilvl="4" w:tentative="0">
      <w:start w:val="0"/>
      <w:numFmt w:val="bullet"/>
      <w:lvlText w:val="•"/>
      <w:lvlJc w:val="left"/>
      <w:pPr>
        <w:ind w:left="6501" w:hanging="160"/>
      </w:pPr>
      <w:rPr>
        <w:rFonts w:hint="default"/>
        <w:lang w:val="zh-CN" w:eastAsia="zh-CN" w:bidi="zh-CN"/>
      </w:rPr>
    </w:lvl>
    <w:lvl w:ilvl="5" w:tentative="0">
      <w:start w:val="0"/>
      <w:numFmt w:val="bullet"/>
      <w:lvlText w:val="•"/>
      <w:lvlJc w:val="left"/>
      <w:pPr>
        <w:ind w:left="8101" w:hanging="160"/>
      </w:pPr>
      <w:rPr>
        <w:rFonts w:hint="default"/>
        <w:lang w:val="zh-CN" w:eastAsia="zh-CN" w:bidi="zh-CN"/>
      </w:rPr>
    </w:lvl>
    <w:lvl w:ilvl="6" w:tentative="0">
      <w:start w:val="0"/>
      <w:numFmt w:val="bullet"/>
      <w:lvlText w:val="•"/>
      <w:lvlJc w:val="left"/>
      <w:pPr>
        <w:ind w:left="9701" w:hanging="160"/>
      </w:pPr>
      <w:rPr>
        <w:rFonts w:hint="default"/>
        <w:lang w:val="zh-CN" w:eastAsia="zh-CN" w:bidi="zh-CN"/>
      </w:rPr>
    </w:lvl>
    <w:lvl w:ilvl="7" w:tentative="0">
      <w:start w:val="0"/>
      <w:numFmt w:val="bullet"/>
      <w:lvlText w:val="•"/>
      <w:lvlJc w:val="left"/>
      <w:pPr>
        <w:ind w:left="11301" w:hanging="160"/>
      </w:pPr>
      <w:rPr>
        <w:rFonts w:hint="default"/>
        <w:lang w:val="zh-CN" w:eastAsia="zh-CN" w:bidi="zh-CN"/>
      </w:rPr>
    </w:lvl>
    <w:lvl w:ilvl="8" w:tentative="0">
      <w:start w:val="0"/>
      <w:numFmt w:val="bullet"/>
      <w:lvlText w:val="•"/>
      <w:lvlJc w:val="left"/>
      <w:pPr>
        <w:ind w:left="12902" w:hanging="160"/>
      </w:pPr>
      <w:rPr>
        <w:rFonts w:hint="default"/>
        <w:lang w:val="zh-CN" w:eastAsia="zh-CN" w:bidi="zh-CN"/>
      </w:rPr>
    </w:lvl>
  </w:abstractNum>
  <w:abstractNum w:abstractNumId="40">
    <w:nsid w:val="00000031"/>
    <w:multiLevelType w:val="multilevel"/>
    <w:tmpl w:val="00000031"/>
    <w:lvl w:ilvl="0" w:tentative="0">
      <w:start w:val="1"/>
      <w:numFmt w:val="decimal"/>
      <w:lvlText w:val="%1."/>
      <w:lvlJc w:val="left"/>
      <w:pPr>
        <w:ind w:left="1064" w:hanging="485"/>
      </w:pPr>
      <w:rPr>
        <w:rFonts w:hint="default" w:ascii="仿宋" w:hAnsi="仿宋" w:eastAsia="仿宋" w:cs="仿宋"/>
        <w:b/>
        <w:bCs/>
        <w:spacing w:val="2"/>
        <w:w w:val="99"/>
        <w:sz w:val="46"/>
        <w:szCs w:val="46"/>
        <w:lang w:val="zh-CN" w:eastAsia="zh-CN" w:bidi="zh-CN"/>
      </w:rPr>
    </w:lvl>
    <w:lvl w:ilvl="1" w:tentative="0">
      <w:start w:val="1"/>
      <w:numFmt w:val="decimal"/>
      <w:lvlText w:val="%1.%2"/>
      <w:lvlJc w:val="left"/>
      <w:pPr>
        <w:ind w:left="1216" w:hanging="636"/>
      </w:pPr>
      <w:rPr>
        <w:rFonts w:hint="default"/>
        <w:b/>
        <w:bCs/>
        <w:spacing w:val="0"/>
        <w:w w:val="99"/>
        <w:lang w:val="zh-CN" w:eastAsia="zh-CN" w:bidi="zh-CN"/>
      </w:rPr>
    </w:lvl>
    <w:lvl w:ilvl="2" w:tentative="0">
      <w:start w:val="1"/>
      <w:numFmt w:val="decimal"/>
      <w:lvlText w:val="%3."/>
      <w:lvlJc w:val="left"/>
      <w:pPr>
        <w:ind w:left="736" w:hanging="213"/>
      </w:pPr>
      <w:rPr>
        <w:rFonts w:hint="default" w:ascii="仿宋" w:hAnsi="仿宋" w:eastAsia="仿宋" w:cs="仿宋"/>
        <w:spacing w:val="-19"/>
        <w:w w:val="100"/>
        <w:sz w:val="19"/>
        <w:szCs w:val="19"/>
        <w:lang w:val="zh-CN" w:eastAsia="zh-CN" w:bidi="zh-CN"/>
      </w:rPr>
    </w:lvl>
    <w:lvl w:ilvl="3" w:tentative="0">
      <w:start w:val="0"/>
      <w:numFmt w:val="bullet"/>
      <w:lvlText w:val="•"/>
      <w:lvlJc w:val="left"/>
      <w:pPr>
        <w:ind w:left="1240" w:hanging="213"/>
      </w:pPr>
      <w:rPr>
        <w:rFonts w:hint="default"/>
        <w:lang w:val="zh-CN" w:eastAsia="zh-CN" w:bidi="zh-CN"/>
      </w:rPr>
    </w:lvl>
    <w:lvl w:ilvl="4" w:tentative="0">
      <w:start w:val="0"/>
      <w:numFmt w:val="bullet"/>
      <w:lvlText w:val="•"/>
      <w:lvlJc w:val="left"/>
      <w:pPr>
        <w:ind w:left="1261" w:hanging="213"/>
      </w:pPr>
      <w:rPr>
        <w:rFonts w:hint="default"/>
        <w:lang w:val="zh-CN" w:eastAsia="zh-CN" w:bidi="zh-CN"/>
      </w:rPr>
    </w:lvl>
    <w:lvl w:ilvl="5" w:tentative="0">
      <w:start w:val="0"/>
      <w:numFmt w:val="bullet"/>
      <w:lvlText w:val="•"/>
      <w:lvlJc w:val="left"/>
      <w:pPr>
        <w:ind w:left="1281" w:hanging="213"/>
      </w:pPr>
      <w:rPr>
        <w:rFonts w:hint="default"/>
        <w:lang w:val="zh-CN" w:eastAsia="zh-CN" w:bidi="zh-CN"/>
      </w:rPr>
    </w:lvl>
    <w:lvl w:ilvl="6" w:tentative="0">
      <w:start w:val="0"/>
      <w:numFmt w:val="bullet"/>
      <w:lvlText w:val="•"/>
      <w:lvlJc w:val="left"/>
      <w:pPr>
        <w:ind w:left="1302" w:hanging="213"/>
      </w:pPr>
      <w:rPr>
        <w:rFonts w:hint="default"/>
        <w:lang w:val="zh-CN" w:eastAsia="zh-CN" w:bidi="zh-CN"/>
      </w:rPr>
    </w:lvl>
    <w:lvl w:ilvl="7" w:tentative="0">
      <w:start w:val="0"/>
      <w:numFmt w:val="bullet"/>
      <w:lvlText w:val="•"/>
      <w:lvlJc w:val="left"/>
      <w:pPr>
        <w:ind w:left="1322" w:hanging="213"/>
      </w:pPr>
      <w:rPr>
        <w:rFonts w:hint="default"/>
        <w:lang w:val="zh-CN" w:eastAsia="zh-CN" w:bidi="zh-CN"/>
      </w:rPr>
    </w:lvl>
    <w:lvl w:ilvl="8" w:tentative="0">
      <w:start w:val="0"/>
      <w:numFmt w:val="bullet"/>
      <w:lvlText w:val="•"/>
      <w:lvlJc w:val="left"/>
      <w:pPr>
        <w:ind w:left="1343" w:hanging="213"/>
      </w:pPr>
      <w:rPr>
        <w:rFonts w:hint="default"/>
        <w:lang w:val="zh-CN" w:eastAsia="zh-CN" w:bidi="zh-CN"/>
      </w:rPr>
    </w:lvl>
  </w:abstractNum>
  <w:abstractNum w:abstractNumId="41">
    <w:nsid w:val="00000032"/>
    <w:multiLevelType w:val="multilevel"/>
    <w:tmpl w:val="00000032"/>
    <w:lvl w:ilvl="0" w:tentative="0">
      <w:start w:val="1"/>
      <w:numFmt w:val="decimal"/>
      <w:lvlText w:val="%1."/>
      <w:lvlJc w:val="left"/>
      <w:pPr>
        <w:ind w:left="863" w:hanging="284"/>
      </w:pPr>
      <w:rPr>
        <w:rFonts w:hint="default" w:ascii="仿宋" w:hAnsi="仿宋" w:eastAsia="仿宋" w:cs="仿宋"/>
        <w:b/>
        <w:bCs/>
        <w:spacing w:val="1"/>
        <w:w w:val="99"/>
        <w:sz w:val="26"/>
        <w:szCs w:val="26"/>
        <w:lang w:val="zh-CN" w:eastAsia="zh-CN" w:bidi="zh-CN"/>
      </w:rPr>
    </w:lvl>
    <w:lvl w:ilvl="1" w:tentative="0">
      <w:start w:val="1"/>
      <w:numFmt w:val="decimal"/>
      <w:lvlText w:val="%1.%2"/>
      <w:lvlJc w:val="left"/>
      <w:pPr>
        <w:ind w:left="1629" w:hanging="490"/>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910" w:hanging="490"/>
      </w:pPr>
      <w:rPr>
        <w:rFonts w:hint="default"/>
        <w:lang w:val="zh-CN" w:eastAsia="zh-CN" w:bidi="zh-CN"/>
      </w:rPr>
    </w:lvl>
    <w:lvl w:ilvl="3" w:tentative="0">
      <w:start w:val="0"/>
      <w:numFmt w:val="bullet"/>
      <w:lvlText w:val="•"/>
      <w:lvlJc w:val="left"/>
      <w:pPr>
        <w:ind w:left="6201" w:hanging="490"/>
      </w:pPr>
      <w:rPr>
        <w:rFonts w:hint="default"/>
        <w:lang w:val="zh-CN" w:eastAsia="zh-CN" w:bidi="zh-CN"/>
      </w:rPr>
    </w:lvl>
    <w:lvl w:ilvl="4" w:tentative="0">
      <w:start w:val="0"/>
      <w:numFmt w:val="bullet"/>
      <w:lvlText w:val="•"/>
      <w:lvlJc w:val="left"/>
      <w:pPr>
        <w:ind w:left="8492" w:hanging="490"/>
      </w:pPr>
      <w:rPr>
        <w:rFonts w:hint="default"/>
        <w:lang w:val="zh-CN" w:eastAsia="zh-CN" w:bidi="zh-CN"/>
      </w:rPr>
    </w:lvl>
    <w:lvl w:ilvl="5" w:tentative="0">
      <w:start w:val="0"/>
      <w:numFmt w:val="bullet"/>
      <w:lvlText w:val="•"/>
      <w:lvlJc w:val="left"/>
      <w:pPr>
        <w:ind w:left="10783" w:hanging="490"/>
      </w:pPr>
      <w:rPr>
        <w:rFonts w:hint="default"/>
        <w:lang w:val="zh-CN" w:eastAsia="zh-CN" w:bidi="zh-CN"/>
      </w:rPr>
    </w:lvl>
    <w:lvl w:ilvl="6" w:tentative="0">
      <w:start w:val="0"/>
      <w:numFmt w:val="bullet"/>
      <w:lvlText w:val="•"/>
      <w:lvlJc w:val="left"/>
      <w:pPr>
        <w:ind w:left="13074" w:hanging="490"/>
      </w:pPr>
      <w:rPr>
        <w:rFonts w:hint="default"/>
        <w:lang w:val="zh-CN" w:eastAsia="zh-CN" w:bidi="zh-CN"/>
      </w:rPr>
    </w:lvl>
    <w:lvl w:ilvl="7" w:tentative="0">
      <w:start w:val="0"/>
      <w:numFmt w:val="bullet"/>
      <w:lvlText w:val="•"/>
      <w:lvlJc w:val="left"/>
      <w:pPr>
        <w:ind w:left="15365" w:hanging="490"/>
      </w:pPr>
      <w:rPr>
        <w:rFonts w:hint="default"/>
        <w:lang w:val="zh-CN" w:eastAsia="zh-CN" w:bidi="zh-CN"/>
      </w:rPr>
    </w:lvl>
    <w:lvl w:ilvl="8" w:tentative="0">
      <w:start w:val="0"/>
      <w:numFmt w:val="bullet"/>
      <w:lvlText w:val="•"/>
      <w:lvlJc w:val="left"/>
      <w:pPr>
        <w:ind w:left="17655" w:hanging="490"/>
      </w:pPr>
      <w:rPr>
        <w:rFonts w:hint="default"/>
        <w:lang w:val="zh-CN" w:eastAsia="zh-CN" w:bidi="zh-CN"/>
      </w:rPr>
    </w:lvl>
  </w:abstractNum>
  <w:abstractNum w:abstractNumId="42">
    <w:nsid w:val="0053208E"/>
    <w:multiLevelType w:val="multilevel"/>
    <w:tmpl w:val="0053208E"/>
    <w:lvl w:ilvl="0" w:tentative="0">
      <w:start w:val="1"/>
      <w:numFmt w:val="decimal"/>
      <w:lvlText w:val="%1."/>
      <w:lvlJc w:val="left"/>
      <w:pPr>
        <w:ind w:left="268" w:hanging="163"/>
      </w:pPr>
      <w:rPr>
        <w:rFonts w:hint="default" w:ascii="Calibri" w:hAnsi="Calibri" w:eastAsia="Calibri" w:cs="Calibri"/>
        <w:spacing w:val="-1"/>
        <w:w w:val="100"/>
        <w:sz w:val="19"/>
        <w:szCs w:val="19"/>
        <w:lang w:val="zh-CN" w:eastAsia="zh-CN" w:bidi="zh-CN"/>
      </w:rPr>
    </w:lvl>
    <w:lvl w:ilvl="1" w:tentative="0">
      <w:start w:val="0"/>
      <w:numFmt w:val="bullet"/>
      <w:lvlText w:val="•"/>
      <w:lvlJc w:val="left"/>
      <w:pPr>
        <w:ind w:left="1466" w:hanging="163"/>
      </w:pPr>
      <w:rPr>
        <w:rFonts w:hint="default"/>
        <w:lang w:val="zh-CN" w:eastAsia="zh-CN" w:bidi="zh-CN"/>
      </w:rPr>
    </w:lvl>
    <w:lvl w:ilvl="2" w:tentative="0">
      <w:start w:val="0"/>
      <w:numFmt w:val="bullet"/>
      <w:lvlText w:val="•"/>
      <w:lvlJc w:val="left"/>
      <w:pPr>
        <w:ind w:left="2672" w:hanging="163"/>
      </w:pPr>
      <w:rPr>
        <w:rFonts w:hint="default"/>
        <w:lang w:val="zh-CN" w:eastAsia="zh-CN" w:bidi="zh-CN"/>
      </w:rPr>
    </w:lvl>
    <w:lvl w:ilvl="3" w:tentative="0">
      <w:start w:val="0"/>
      <w:numFmt w:val="bullet"/>
      <w:lvlText w:val="•"/>
      <w:lvlJc w:val="left"/>
      <w:pPr>
        <w:ind w:left="3879" w:hanging="163"/>
      </w:pPr>
      <w:rPr>
        <w:rFonts w:hint="default"/>
        <w:lang w:val="zh-CN" w:eastAsia="zh-CN" w:bidi="zh-CN"/>
      </w:rPr>
    </w:lvl>
    <w:lvl w:ilvl="4" w:tentative="0">
      <w:start w:val="0"/>
      <w:numFmt w:val="bullet"/>
      <w:lvlText w:val="•"/>
      <w:lvlJc w:val="left"/>
      <w:pPr>
        <w:ind w:left="5085" w:hanging="163"/>
      </w:pPr>
      <w:rPr>
        <w:rFonts w:hint="default"/>
        <w:lang w:val="zh-CN" w:eastAsia="zh-CN" w:bidi="zh-CN"/>
      </w:rPr>
    </w:lvl>
    <w:lvl w:ilvl="5" w:tentative="0">
      <w:start w:val="0"/>
      <w:numFmt w:val="bullet"/>
      <w:lvlText w:val="•"/>
      <w:lvlJc w:val="left"/>
      <w:pPr>
        <w:ind w:left="6292" w:hanging="163"/>
      </w:pPr>
      <w:rPr>
        <w:rFonts w:hint="default"/>
        <w:lang w:val="zh-CN" w:eastAsia="zh-CN" w:bidi="zh-CN"/>
      </w:rPr>
    </w:lvl>
    <w:lvl w:ilvl="6" w:tentative="0">
      <w:start w:val="0"/>
      <w:numFmt w:val="bullet"/>
      <w:lvlText w:val="•"/>
      <w:lvlJc w:val="left"/>
      <w:pPr>
        <w:ind w:left="7498" w:hanging="163"/>
      </w:pPr>
      <w:rPr>
        <w:rFonts w:hint="default"/>
        <w:lang w:val="zh-CN" w:eastAsia="zh-CN" w:bidi="zh-CN"/>
      </w:rPr>
    </w:lvl>
    <w:lvl w:ilvl="7" w:tentative="0">
      <w:start w:val="0"/>
      <w:numFmt w:val="bullet"/>
      <w:lvlText w:val="•"/>
      <w:lvlJc w:val="left"/>
      <w:pPr>
        <w:ind w:left="8704" w:hanging="163"/>
      </w:pPr>
      <w:rPr>
        <w:rFonts w:hint="default"/>
        <w:lang w:val="zh-CN" w:eastAsia="zh-CN" w:bidi="zh-CN"/>
      </w:rPr>
    </w:lvl>
    <w:lvl w:ilvl="8" w:tentative="0">
      <w:start w:val="0"/>
      <w:numFmt w:val="bullet"/>
      <w:lvlText w:val="•"/>
      <w:lvlJc w:val="left"/>
      <w:pPr>
        <w:ind w:left="9911" w:hanging="163"/>
      </w:pPr>
      <w:rPr>
        <w:rFonts w:hint="default"/>
        <w:lang w:val="zh-CN" w:eastAsia="zh-CN" w:bidi="zh-CN"/>
      </w:rPr>
    </w:lvl>
  </w:abstractNum>
  <w:num w:numId="1">
    <w:abstractNumId w:val="41"/>
  </w:num>
  <w:num w:numId="2">
    <w:abstractNumId w:val="40"/>
  </w:num>
  <w:num w:numId="3">
    <w:abstractNumId w:val="39"/>
  </w:num>
  <w:num w:numId="4">
    <w:abstractNumId w:val="38"/>
  </w:num>
  <w:num w:numId="5">
    <w:abstractNumId w:val="37"/>
  </w:num>
  <w:num w:numId="6">
    <w:abstractNumId w:val="36"/>
  </w:num>
  <w:num w:numId="7">
    <w:abstractNumId w:val="35"/>
  </w:num>
  <w:num w:numId="8">
    <w:abstractNumId w:val="34"/>
  </w:num>
  <w:num w:numId="9">
    <w:abstractNumId w:val="33"/>
  </w:num>
  <w:num w:numId="10">
    <w:abstractNumId w:val="32"/>
  </w:num>
  <w:num w:numId="11">
    <w:abstractNumId w:val="31"/>
  </w:num>
  <w:num w:numId="12">
    <w:abstractNumId w:val="30"/>
  </w:num>
  <w:num w:numId="13">
    <w:abstractNumId w:val="29"/>
  </w:num>
  <w:num w:numId="14">
    <w:abstractNumId w:val="28"/>
  </w:num>
  <w:num w:numId="15">
    <w:abstractNumId w:val="27"/>
  </w:num>
  <w:num w:numId="16">
    <w:abstractNumId w:val="26"/>
  </w:num>
  <w:num w:numId="17">
    <w:abstractNumId w:val="25"/>
  </w:num>
  <w:num w:numId="18">
    <w:abstractNumId w:val="24"/>
  </w:num>
  <w:num w:numId="19">
    <w:abstractNumId w:val="23"/>
  </w:num>
  <w:num w:numId="20">
    <w:abstractNumId w:val="22"/>
  </w:num>
  <w:num w:numId="21">
    <w:abstractNumId w:val="21"/>
  </w:num>
  <w:num w:numId="22">
    <w:abstractNumId w:val="20"/>
  </w:num>
  <w:num w:numId="23">
    <w:abstractNumId w:val="19"/>
  </w:num>
  <w:num w:numId="24">
    <w:abstractNumId w:val="18"/>
  </w:num>
  <w:num w:numId="25">
    <w:abstractNumId w:val="17"/>
  </w:num>
  <w:num w:numId="26">
    <w:abstractNumId w:val="16"/>
  </w:num>
  <w:num w:numId="27">
    <w:abstractNumId w:val="15"/>
  </w:num>
  <w:num w:numId="28">
    <w:abstractNumId w:val="14"/>
  </w:num>
  <w:num w:numId="29">
    <w:abstractNumId w:val="13"/>
  </w:num>
  <w:num w:numId="30">
    <w:abstractNumId w:val="12"/>
  </w:num>
  <w:num w:numId="31">
    <w:abstractNumId w:val="11"/>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NTA3OGEzMzYwODgyZTJkZjY1Mjg0ZmQxZTYxMzcifQ=="/>
  </w:docVars>
  <w:rsids>
    <w:rsidRoot w:val="00552563"/>
    <w:rsid w:val="003412DE"/>
    <w:rsid w:val="00552563"/>
    <w:rsid w:val="00E41CD8"/>
    <w:rsid w:val="0E7274DA"/>
    <w:rsid w:val="44C153B7"/>
    <w:rsid w:val="797B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customStyle="1" w:styleId="5">
    <w:name w:val="目录 11"/>
    <w:basedOn w:val="1"/>
    <w:qFormat/>
    <w:uiPriority w:val="1"/>
    <w:pPr>
      <w:spacing w:before="30"/>
      <w:ind w:left="863" w:right="774" w:hanging="864"/>
      <w:jc w:val="right"/>
    </w:pPr>
    <w:rPr>
      <w:b/>
      <w:bCs/>
      <w:sz w:val="28"/>
      <w:szCs w:val="28"/>
    </w:rPr>
  </w:style>
  <w:style w:type="paragraph" w:customStyle="1" w:styleId="6">
    <w:name w:val="目录 21"/>
    <w:basedOn w:val="1"/>
    <w:qFormat/>
    <w:uiPriority w:val="1"/>
    <w:pPr>
      <w:spacing w:before="30"/>
      <w:ind w:left="1629" w:right="774" w:hanging="1630"/>
      <w:jc w:val="right"/>
    </w:pPr>
    <w:rPr>
      <w:sz w:val="28"/>
      <w:szCs w:val="28"/>
    </w:rPr>
  </w:style>
  <w:style w:type="paragraph" w:customStyle="1" w:styleId="7">
    <w:name w:val="标题 11"/>
    <w:basedOn w:val="1"/>
    <w:qFormat/>
    <w:uiPriority w:val="1"/>
    <w:pPr>
      <w:spacing w:before="9"/>
      <w:ind w:left="1064" w:hanging="485"/>
      <w:outlineLvl w:val="1"/>
    </w:pPr>
    <w:rPr>
      <w:b/>
      <w:bCs/>
      <w:sz w:val="48"/>
      <w:szCs w:val="48"/>
    </w:rPr>
  </w:style>
  <w:style w:type="paragraph" w:customStyle="1" w:styleId="8">
    <w:name w:val="标题 21"/>
    <w:basedOn w:val="1"/>
    <w:qFormat/>
    <w:uiPriority w:val="1"/>
    <w:pPr>
      <w:spacing w:before="30"/>
      <w:ind w:left="1211" w:hanging="632"/>
      <w:outlineLvl w:val="2"/>
    </w:pPr>
    <w:rPr>
      <w:sz w:val="36"/>
      <w:szCs w:val="36"/>
    </w:rPr>
  </w:style>
  <w:style w:type="paragraph" w:customStyle="1" w:styleId="9">
    <w:name w:val="标题 31"/>
    <w:basedOn w:val="1"/>
    <w:qFormat/>
    <w:uiPriority w:val="1"/>
    <w:pPr>
      <w:spacing w:before="58"/>
      <w:ind w:left="358"/>
      <w:jc w:val="center"/>
      <w:outlineLvl w:val="3"/>
    </w:pPr>
    <w:rPr>
      <w:b/>
      <w:bCs/>
      <w:sz w:val="24"/>
      <w:szCs w:val="24"/>
    </w:rPr>
  </w:style>
  <w:style w:type="paragraph" w:customStyle="1" w:styleId="10">
    <w:name w:val="标题 41"/>
    <w:basedOn w:val="1"/>
    <w:qFormat/>
    <w:uiPriority w:val="1"/>
    <w:pPr>
      <w:spacing w:line="165" w:lineRule="exact"/>
      <w:ind w:left="72"/>
      <w:outlineLvl w:val="4"/>
    </w:pPr>
    <w:rPr>
      <w:b/>
      <w:bCs/>
      <w:sz w:val="21"/>
      <w:szCs w:val="21"/>
    </w:rPr>
  </w:style>
  <w:style w:type="paragraph" w:customStyle="1" w:styleId="11">
    <w:name w:val="列出段落1"/>
    <w:basedOn w:val="1"/>
    <w:qFormat/>
    <w:uiPriority w:val="1"/>
    <w:pPr>
      <w:spacing w:before="30"/>
      <w:ind w:left="1629" w:hanging="213"/>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ylmfenng</Company>
  <Pages>34</Pages>
  <Words>58910</Words>
  <Characters>60942</Characters>
  <Lines>489</Lines>
  <Paragraphs>137</Paragraphs>
  <TotalTime>2</TotalTime>
  <ScaleCrop>false</ScaleCrop>
  <LinksUpToDate>false</LinksUpToDate>
  <CharactersWithSpaces>61827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2020-11-05T08:56:00Z</dcterms:created>
  <dc:creator>123</dc:creator>
  <cp:lastModifiedBy>我还没死</cp:lastModifiedBy>
  <dcterms:modified xsi:type="dcterms:W3CDTF">2023-04-18T03:24:51Z</dcterms:modified>
  <dc:title>长江经济带战略环境评价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2010</vt:lpwstr>
  </property>
  <property fmtid="{D5CDD505-2E9C-101B-9397-08002B2CF9AE}" pid="4" name="LastSaved">
    <vt:filetime>2020-11-05T00:00:00Z</vt:filetime>
  </property>
  <property fmtid="{D5CDD505-2E9C-101B-9397-08002B2CF9AE}" pid="5" name="KSOProductBuildVer">
    <vt:lpwstr>2052-11.1.0.14036</vt:lpwstr>
  </property>
  <property fmtid="{D5CDD505-2E9C-101B-9397-08002B2CF9AE}" pid="6" name="ICV">
    <vt:lpwstr>384E8D988ADF431E961C2FAF34B02D69</vt:lpwstr>
  </property>
</Properties>
</file>