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1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14:paraId="190BFE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14:paraId="422C11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14:paraId="4A3316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DD016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14:paraId="68F9D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14:paraId="4F1AE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7E2F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14:paraId="230DB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3899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3AC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469F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14:paraId="109534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14:paraId="362DA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0046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26B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AD594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 件</w:t>
      </w:r>
    </w:p>
    <w:p w14:paraId="6CABC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F412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14:paraId="761809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14:paraId="645B7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3A823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1C33A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CDC8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14:paraId="101E6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14:paraId="04416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14:paraId="762D7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14:paraId="7CA6EB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14:paraId="40C85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3FD8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14:paraId="20E5D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14:paraId="64735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14:paraId="45C30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14:paraId="6FC84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14:paraId="14B74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14:paraId="570BC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CEFF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14:paraId="1D8A6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11E3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14:paraId="07FCD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14:paraId="4CEE9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601D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14:paraId="50D54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7208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14:paraId="7992C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14:paraId="22AB1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438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14:paraId="1C3D7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869C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14:paraId="3419D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3DD7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14:paraId="7CE06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14:paraId="67378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14:paraId="2F8CC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14:paraId="2129F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14:paraId="7E622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14:paraId="5FC10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14:paraId="1568C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14:paraId="17DAC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14:paraId="2D5A5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14:paraId="74006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14:paraId="70ACB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A44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14:paraId="6C95F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4319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14:paraId="5E577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14:paraId="664CA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14:paraId="4CEDE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w:t>
      </w:r>
      <w:r>
        <w:rPr>
          <w:rFonts w:hint="eastAsia" w:ascii="仿宋_GB2312" w:hAnsi="仿宋_GB2312" w:eastAsia="仿宋_GB2312" w:cs="仿宋_GB2312"/>
          <w:sz w:val="32"/>
          <w:szCs w:val="32"/>
          <w:lang w:eastAsia="zh-CN"/>
        </w:rPr>
        <w:t>《财政违法行为处罚处分条例》</w:t>
      </w:r>
      <w:r>
        <w:rPr>
          <w:rFonts w:hint="eastAsia" w:ascii="仿宋_GB2312" w:hAnsi="仿宋_GB2312" w:eastAsia="仿宋_GB2312" w:cs="仿宋_GB2312"/>
          <w:sz w:val="32"/>
          <w:szCs w:val="32"/>
        </w:rPr>
        <w:t>等法律法规及相关规定进行严肃处理，涉及违法犯罪的，移送司法机关。</w:t>
      </w:r>
    </w:p>
    <w:p w14:paraId="39A63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w:t>
      </w:r>
      <w:bookmarkStart w:id="0" w:name="_GoBack"/>
      <w:bookmarkEnd w:id="0"/>
      <w:r>
        <w:rPr>
          <w:rFonts w:hint="eastAsia" w:ascii="仿宋_GB2312" w:hAnsi="仿宋_GB2312" w:eastAsia="仿宋_GB2312" w:cs="仿宋_GB2312"/>
          <w:sz w:val="32"/>
          <w:szCs w:val="32"/>
        </w:rPr>
        <w:t>通知指引、奖补到村的资金分配方案等，应在县级相关部门门户网站进行公示，补贴到户的资金分配情况应在本村进行公示。</w:t>
      </w:r>
    </w:p>
    <w:p w14:paraId="1E617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5786F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14:paraId="1FCB6F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C33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以及完成改厕户数、户名等），实行“建档立卡，逐个销号”。</w:t>
      </w:r>
    </w:p>
    <w:p w14:paraId="28D65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14:paraId="6ED62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14:paraId="78AA2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14:paraId="1E7F7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BF2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CCBC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D10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TA3OGEzMzYwODgyZTJkZjY1Mjg0ZmQxZTYxMzcifQ=="/>
  </w:docVars>
  <w:rsids>
    <w:rsidRoot w:val="00000000"/>
    <w:rsid w:val="13C408B1"/>
    <w:rsid w:val="1D3B4FB0"/>
    <w:rsid w:val="2C6D5838"/>
    <w:rsid w:val="2DF21955"/>
    <w:rsid w:val="375A31D5"/>
    <w:rsid w:val="4E4E656D"/>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3747</Words>
  <Characters>3779</Characters>
  <Lines>0</Lines>
  <Paragraphs>0</Paragraphs>
  <TotalTime>1</TotalTime>
  <ScaleCrop>false</ScaleCrop>
  <LinksUpToDate>false</LinksUpToDate>
  <CharactersWithSpaces>3831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我还没死</cp:lastModifiedBy>
  <dcterms:modified xsi:type="dcterms:W3CDTF">2024-10-31T15:15:06Z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76B8A85F1DC84F82ACABBB06A4EC0368_12</vt:lpwstr>
  </property>
</Properties>
</file>